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0" w:firstLineChars="0"/>
        <w:jc w:val="left"/>
        <w:rPr>
          <w:rFonts w:hint="eastAsia" w:ascii="黑体" w:hAnsi="黑体" w:eastAsia="黑体" w:cs="黑体"/>
        </w:rPr>
      </w:pPr>
      <w:r>
        <w:rPr>
          <w:rFonts w:hint="eastAsia" w:ascii="黑体" w:hAnsi="黑体" w:eastAsia="黑体" w:cs="黑体"/>
        </w:rPr>
        <w:t>附件</w:t>
      </w:r>
      <w:r>
        <w:rPr>
          <w:rFonts w:hint="eastAsia" w:ascii="黑体" w:hAnsi="黑体" w:eastAsia="黑体" w:cs="黑体"/>
          <w:lang w:val="en-US" w:eastAsia="zh-CN"/>
        </w:rPr>
        <w:t>5</w:t>
      </w:r>
    </w:p>
    <w:p>
      <w:pPr>
        <w:spacing w:line="560" w:lineRule="exact"/>
        <w:jc w:val="center"/>
        <w:rPr>
          <w:rFonts w:eastAsia="仿宋"/>
          <w:sz w:val="30"/>
          <w:szCs w:val="30"/>
        </w:rPr>
      </w:pPr>
    </w:p>
    <w:p>
      <w:pPr>
        <w:spacing w:line="560" w:lineRule="exact"/>
        <w:jc w:val="center"/>
        <w:rPr>
          <w:rFonts w:eastAsia="仿宋"/>
          <w:sz w:val="30"/>
          <w:szCs w:val="30"/>
        </w:rPr>
      </w:pPr>
    </w:p>
    <w:p>
      <w:pPr>
        <w:spacing w:line="560" w:lineRule="exact"/>
        <w:ind w:firstLine="960"/>
        <w:jc w:val="center"/>
        <w:rPr>
          <w:rFonts w:eastAsia="黑体"/>
          <w:sz w:val="48"/>
          <w:szCs w:val="48"/>
        </w:rPr>
      </w:pPr>
    </w:p>
    <w:p>
      <w:pPr>
        <w:spacing w:line="560" w:lineRule="exact"/>
        <w:ind w:firstLine="960"/>
        <w:jc w:val="center"/>
        <w:rPr>
          <w:rFonts w:eastAsia="黑体"/>
          <w:sz w:val="48"/>
          <w:szCs w:val="48"/>
        </w:rPr>
      </w:pPr>
      <w:bookmarkStart w:id="37" w:name="_GoBack"/>
      <w:bookmarkEnd w:id="37"/>
    </w:p>
    <w:p>
      <w:pPr>
        <w:spacing w:line="560" w:lineRule="exact"/>
        <w:ind w:firstLine="960"/>
        <w:jc w:val="center"/>
        <w:rPr>
          <w:rFonts w:eastAsia="黑体"/>
          <w:sz w:val="48"/>
          <w:szCs w:val="48"/>
        </w:rPr>
      </w:pPr>
    </w:p>
    <w:p>
      <w:pPr>
        <w:spacing w:line="480" w:lineRule="auto"/>
        <w:ind w:firstLine="0" w:firstLineChars="0"/>
        <w:jc w:val="center"/>
        <w:rPr>
          <w:rFonts w:eastAsia="方正小标宋简体"/>
          <w:sz w:val="52"/>
          <w:szCs w:val="52"/>
        </w:rPr>
      </w:pPr>
      <w:r>
        <w:rPr>
          <w:rFonts w:hint="eastAsia" w:eastAsia="方正小标宋简体"/>
          <w:sz w:val="52"/>
          <w:szCs w:val="52"/>
        </w:rPr>
        <w:t>化学药品变更受理审查指南</w:t>
      </w:r>
    </w:p>
    <w:p>
      <w:pPr>
        <w:spacing w:line="480" w:lineRule="auto"/>
        <w:ind w:firstLine="0" w:firstLineChars="0"/>
        <w:jc w:val="center"/>
        <w:rPr>
          <w:rFonts w:eastAsia="方正小标宋简体"/>
          <w:sz w:val="52"/>
          <w:szCs w:val="52"/>
        </w:rPr>
      </w:pPr>
      <w:r>
        <w:rPr>
          <w:rFonts w:hint="eastAsia" w:eastAsia="方正小标宋简体"/>
          <w:sz w:val="52"/>
          <w:szCs w:val="52"/>
        </w:rPr>
        <w:t>（征求意见稿）</w:t>
      </w:r>
    </w:p>
    <w:p>
      <w:pPr>
        <w:spacing w:line="560" w:lineRule="exact"/>
        <w:ind w:firstLine="880"/>
        <w:jc w:val="center"/>
        <w:rPr>
          <w:rFonts w:eastAsia="方正小标宋简体"/>
          <w:color w:val="000000"/>
          <w:sz w:val="44"/>
          <w:szCs w:val="44"/>
        </w:rPr>
      </w:pPr>
    </w:p>
    <w:p>
      <w:pPr>
        <w:spacing w:line="560" w:lineRule="exact"/>
        <w:ind w:firstLine="720"/>
        <w:jc w:val="center"/>
        <w:rPr>
          <w:rFonts w:eastAsia="黑体"/>
          <w:color w:val="000000"/>
          <w:sz w:val="36"/>
          <w:szCs w:val="36"/>
        </w:rPr>
      </w:pPr>
    </w:p>
    <w:p>
      <w:pPr>
        <w:spacing w:line="560" w:lineRule="exact"/>
        <w:ind w:firstLine="720"/>
        <w:jc w:val="center"/>
        <w:rPr>
          <w:rFonts w:eastAsia="黑体"/>
          <w:color w:val="000000"/>
          <w:sz w:val="36"/>
          <w:szCs w:val="36"/>
        </w:rPr>
      </w:pPr>
    </w:p>
    <w:p>
      <w:pPr>
        <w:spacing w:line="560" w:lineRule="exact"/>
        <w:jc w:val="center"/>
        <w:rPr>
          <w:rFonts w:eastAsia="仿宋"/>
          <w:sz w:val="30"/>
          <w:szCs w:val="30"/>
        </w:rPr>
      </w:pPr>
    </w:p>
    <w:p>
      <w:pPr>
        <w:spacing w:line="560" w:lineRule="exact"/>
        <w:jc w:val="center"/>
        <w:rPr>
          <w:rFonts w:eastAsia="仿宋"/>
          <w:sz w:val="30"/>
          <w:szCs w:val="30"/>
        </w:rPr>
      </w:pPr>
    </w:p>
    <w:p>
      <w:pPr>
        <w:spacing w:line="560" w:lineRule="exact"/>
        <w:jc w:val="center"/>
        <w:rPr>
          <w:rFonts w:eastAsia="仿宋"/>
          <w:sz w:val="30"/>
          <w:szCs w:val="30"/>
        </w:rPr>
      </w:pPr>
    </w:p>
    <w:p>
      <w:pPr>
        <w:spacing w:line="560" w:lineRule="exact"/>
        <w:jc w:val="center"/>
        <w:rPr>
          <w:rFonts w:eastAsia="仿宋"/>
          <w:sz w:val="30"/>
          <w:szCs w:val="30"/>
        </w:rPr>
      </w:pPr>
    </w:p>
    <w:p>
      <w:pPr>
        <w:spacing w:line="560" w:lineRule="exact"/>
        <w:jc w:val="center"/>
        <w:rPr>
          <w:rFonts w:eastAsia="仿宋"/>
          <w:sz w:val="30"/>
          <w:szCs w:val="30"/>
        </w:rPr>
      </w:pPr>
    </w:p>
    <w:p>
      <w:pPr>
        <w:spacing w:line="560" w:lineRule="exact"/>
        <w:jc w:val="center"/>
        <w:rPr>
          <w:rFonts w:eastAsia="仿宋"/>
          <w:sz w:val="30"/>
          <w:szCs w:val="30"/>
        </w:rPr>
      </w:pPr>
    </w:p>
    <w:p>
      <w:pPr>
        <w:spacing w:line="560" w:lineRule="exact"/>
        <w:jc w:val="center"/>
        <w:rPr>
          <w:rFonts w:eastAsia="仿宋"/>
          <w:sz w:val="30"/>
          <w:szCs w:val="30"/>
        </w:rPr>
      </w:pPr>
    </w:p>
    <w:p>
      <w:pPr>
        <w:spacing w:line="560" w:lineRule="exact"/>
        <w:jc w:val="center"/>
        <w:rPr>
          <w:rFonts w:eastAsia="仿宋"/>
          <w:sz w:val="30"/>
          <w:szCs w:val="30"/>
        </w:rPr>
      </w:pPr>
    </w:p>
    <w:p>
      <w:pPr>
        <w:spacing w:line="560" w:lineRule="exact"/>
        <w:ind w:right="435" w:rightChars="136" w:firstLine="0" w:firstLineChars="0"/>
        <w:jc w:val="center"/>
      </w:pPr>
      <w:r>
        <w:rPr>
          <w:rFonts w:hint="eastAsia"/>
        </w:rPr>
        <w:t>国家药品监督管理局</w:t>
      </w:r>
    </w:p>
    <w:p>
      <w:pPr>
        <w:widowControl/>
        <w:spacing w:after="240" w:line="560" w:lineRule="exact"/>
        <w:ind w:firstLine="0" w:firstLineChars="0"/>
        <w:jc w:val="cente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814" w:left="1531" w:header="851" w:footer="992" w:gutter="0"/>
          <w:cols w:space="0" w:num="1"/>
          <w:rtlGutter w:val="0"/>
          <w:docGrid w:type="lines" w:linePitch="436" w:charSpace="0"/>
        </w:sectPr>
      </w:pPr>
      <w:r>
        <w:t>2020</w:t>
      </w:r>
      <w:r>
        <w:rPr>
          <w:rFonts w:hint="eastAsia"/>
        </w:rPr>
        <w:t>年</w:t>
      </w:r>
    </w:p>
    <w:p>
      <w:pPr>
        <w:widowControl/>
        <w:spacing w:after="240" w:line="560" w:lineRule="exact"/>
        <w:ind w:firstLine="0" w:firstLineChars="0"/>
        <w:jc w:val="center"/>
        <w:rPr>
          <w:rFonts w:eastAsia="方正小标宋简体"/>
          <w:b/>
          <w:sz w:val="28"/>
          <w:szCs w:val="28"/>
        </w:rPr>
      </w:pPr>
      <w:r>
        <w:rPr>
          <w:rFonts w:hint="eastAsia" w:eastAsia="方正小标宋简体"/>
          <w:b/>
          <w:sz w:val="36"/>
          <w:szCs w:val="36"/>
        </w:rPr>
        <w:t>目</w:t>
      </w:r>
      <w:r>
        <w:rPr>
          <w:rFonts w:eastAsia="方正小标宋简体"/>
          <w:b/>
          <w:sz w:val="36"/>
          <w:szCs w:val="36"/>
        </w:rPr>
        <w:t xml:space="preserve">  </w:t>
      </w:r>
      <w:r>
        <w:rPr>
          <w:rFonts w:hint="eastAsia" w:eastAsia="方正小标宋简体"/>
          <w:b/>
          <w:sz w:val="36"/>
          <w:szCs w:val="36"/>
        </w:rPr>
        <w:t>录</w:t>
      </w:r>
    </w:p>
    <w:sdt>
      <w:sdtPr>
        <w:rPr>
          <w:rFonts w:hint="default" w:ascii="Times New Roman" w:hAnsi="Times New Roman" w:cs="Times New Roman"/>
          <w:lang w:val="zh-CN"/>
        </w:rPr>
        <w:id w:val="-1914384842"/>
      </w:sdtPr>
      <w:sdtEndPr>
        <w:rPr>
          <w:rFonts w:hint="default" w:ascii="Times New Roman" w:hAnsi="Times New Roman" w:cs="Times New Roman"/>
          <w:b/>
          <w:bCs/>
          <w:lang w:val="zh-CN"/>
        </w:rPr>
      </w:sdtEndPr>
      <w:sdtContent>
        <w:p>
          <w:pPr>
            <w:pStyle w:val="16"/>
            <w:tabs>
              <w:tab w:val="right" w:leader="dot" w:pos="8834"/>
            </w:tabs>
            <w:adjustRightInd w:val="0"/>
            <w:snapToGrid w:val="0"/>
            <w:spacing w:line="560" w:lineRule="exact"/>
            <w:ind w:left="0" w:leftChars="0" w:firstLine="0" w:firstLineChars="0"/>
            <w:rPr>
              <w:rStyle w:val="21"/>
              <w:rFonts w:hint="default" w:ascii="Times New Roman" w:hAnsi="Times New Roman" w:eastAsia="方正小标宋简体" w:cs="Times New Roman"/>
            </w:rPr>
          </w:pPr>
          <w:r>
            <w:rPr>
              <w:rFonts w:hint="default" w:ascii="Times New Roman" w:hAnsi="Times New Roman" w:cs="Times New Roman" w:eastAsiaTheme="majorEastAsia"/>
              <w:color w:val="376092" w:themeColor="accent1" w:themeShade="BF"/>
              <w:kern w:val="0"/>
            </w:rPr>
            <w:fldChar w:fldCharType="begin"/>
          </w:r>
          <w:r>
            <w:rPr>
              <w:rFonts w:hint="default" w:ascii="Times New Roman" w:hAnsi="Times New Roman" w:cs="Times New Roman"/>
            </w:rPr>
            <w:instrText xml:space="preserve"> TOC \o "1-3" \h \z \u </w:instrText>
          </w:r>
          <w:r>
            <w:rPr>
              <w:rFonts w:hint="default" w:ascii="Times New Roman" w:hAnsi="Times New Roman" w:cs="Times New Roman" w:eastAsiaTheme="majorEastAsia"/>
              <w:color w:val="376092" w:themeColor="accent1" w:themeShade="BF"/>
              <w:kern w:val="0"/>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"_Toc38271399" </w:instrText>
          </w:r>
          <w:r>
            <w:rPr>
              <w:rFonts w:hint="default" w:ascii="Times New Roman" w:hAnsi="Times New Roman" w:cs="Times New Roman"/>
            </w:rPr>
            <w:fldChar w:fldCharType="separate"/>
          </w:r>
          <w:r>
            <w:rPr>
              <w:rStyle w:val="21"/>
              <w:rFonts w:hint="default" w:ascii="Times New Roman" w:hAnsi="Times New Roman" w:eastAsia="方正小标宋简体" w:cs="Times New Roman"/>
            </w:rPr>
            <w:t>一、适用范围</w:t>
          </w:r>
          <w:r>
            <w:rPr>
              <w:rStyle w:val="21"/>
              <w:rFonts w:hint="default" w:ascii="Times New Roman" w:hAnsi="Times New Roman" w:eastAsia="方正小标宋简体" w:cs="Times New Roman"/>
            </w:rPr>
            <w:tab/>
          </w:r>
          <w:r>
            <w:rPr>
              <w:rStyle w:val="21"/>
              <w:rFonts w:hint="default" w:ascii="Times New Roman" w:hAnsi="Times New Roman" w:eastAsia="方正小标宋简体" w:cs="Times New Roman"/>
            </w:rPr>
            <w:fldChar w:fldCharType="begin"/>
          </w:r>
          <w:r>
            <w:rPr>
              <w:rStyle w:val="21"/>
              <w:rFonts w:hint="default" w:ascii="Times New Roman" w:hAnsi="Times New Roman" w:eastAsia="方正小标宋简体" w:cs="Times New Roman"/>
            </w:rPr>
            <w:instrText xml:space="preserve"> PAGEREF _Toc38271399 \h </w:instrText>
          </w:r>
          <w:r>
            <w:rPr>
              <w:rStyle w:val="21"/>
              <w:rFonts w:hint="default" w:ascii="Times New Roman" w:hAnsi="Times New Roman" w:eastAsia="方正小标宋简体" w:cs="Times New Roman"/>
            </w:rPr>
            <w:fldChar w:fldCharType="separate"/>
          </w:r>
          <w:r>
            <w:rPr>
              <w:rStyle w:val="21"/>
              <w:rFonts w:hint="default" w:ascii="Times New Roman" w:hAnsi="Times New Roman" w:eastAsia="方正小标宋简体" w:cs="Times New Roman"/>
            </w:rPr>
            <w:t>1</w:t>
          </w:r>
          <w:r>
            <w:rPr>
              <w:rStyle w:val="21"/>
              <w:rFonts w:hint="default" w:ascii="Times New Roman" w:hAnsi="Times New Roman" w:eastAsia="方正小标宋简体" w:cs="Times New Roman"/>
            </w:rPr>
            <w:fldChar w:fldCharType="end"/>
          </w:r>
          <w:r>
            <w:rPr>
              <w:rStyle w:val="21"/>
              <w:rFonts w:hint="default" w:ascii="Times New Roman" w:hAnsi="Times New Roman" w:eastAsia="方正小标宋简体" w:cs="Times New Roman"/>
            </w:rPr>
            <w:fldChar w:fldCharType="end"/>
          </w:r>
        </w:p>
        <w:p>
          <w:pPr>
            <w:pStyle w:val="16"/>
            <w:tabs>
              <w:tab w:val="right" w:leader="dot" w:pos="8834"/>
            </w:tabs>
            <w:adjustRightInd w:val="0"/>
            <w:snapToGrid w:val="0"/>
            <w:spacing w:line="560" w:lineRule="exact"/>
            <w:ind w:left="0" w:leftChars="0" w:firstLine="0" w:firstLineChars="0"/>
            <w:rPr>
              <w:rStyle w:val="21"/>
              <w:rFonts w:hint="default" w:ascii="Times New Roman" w:hAnsi="Times New Roman" w:eastAsia="方正小标宋简体"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"_Toc38271400" </w:instrText>
          </w:r>
          <w:r>
            <w:rPr>
              <w:rFonts w:hint="default" w:ascii="Times New Roman" w:hAnsi="Times New Roman" w:cs="Times New Roman"/>
            </w:rPr>
            <w:fldChar w:fldCharType="separate"/>
          </w:r>
          <w:r>
            <w:rPr>
              <w:rStyle w:val="21"/>
              <w:rFonts w:hint="default" w:ascii="Times New Roman" w:hAnsi="Times New Roman" w:eastAsia="方正小标宋简体" w:cs="Times New Roman"/>
            </w:rPr>
            <w:t>二、受理部门</w:t>
          </w:r>
          <w:r>
            <w:rPr>
              <w:rStyle w:val="21"/>
              <w:rFonts w:hint="default" w:ascii="Times New Roman" w:hAnsi="Times New Roman" w:eastAsia="方正小标宋简体" w:cs="Times New Roman"/>
            </w:rPr>
            <w:tab/>
          </w:r>
          <w:r>
            <w:rPr>
              <w:rStyle w:val="21"/>
              <w:rFonts w:hint="default" w:ascii="Times New Roman" w:hAnsi="Times New Roman" w:eastAsia="方正小标宋简体" w:cs="Times New Roman"/>
            </w:rPr>
            <w:fldChar w:fldCharType="begin"/>
          </w:r>
          <w:r>
            <w:rPr>
              <w:rStyle w:val="21"/>
              <w:rFonts w:hint="default" w:ascii="Times New Roman" w:hAnsi="Times New Roman" w:eastAsia="方正小标宋简体" w:cs="Times New Roman"/>
            </w:rPr>
            <w:instrText xml:space="preserve"> PAGEREF _Toc38271400 \h </w:instrText>
          </w:r>
          <w:r>
            <w:rPr>
              <w:rStyle w:val="21"/>
              <w:rFonts w:hint="default" w:ascii="Times New Roman" w:hAnsi="Times New Roman" w:eastAsia="方正小标宋简体" w:cs="Times New Roman"/>
            </w:rPr>
            <w:fldChar w:fldCharType="separate"/>
          </w:r>
          <w:r>
            <w:rPr>
              <w:rStyle w:val="21"/>
              <w:rFonts w:hint="default" w:ascii="Times New Roman" w:hAnsi="Times New Roman" w:eastAsia="方正小标宋简体" w:cs="Times New Roman"/>
            </w:rPr>
            <w:t>1</w:t>
          </w:r>
          <w:r>
            <w:rPr>
              <w:rStyle w:val="21"/>
              <w:rFonts w:hint="default" w:ascii="Times New Roman" w:hAnsi="Times New Roman" w:eastAsia="方正小标宋简体" w:cs="Times New Roman"/>
            </w:rPr>
            <w:fldChar w:fldCharType="end"/>
          </w:r>
          <w:r>
            <w:rPr>
              <w:rStyle w:val="21"/>
              <w:rFonts w:hint="default" w:ascii="Times New Roman" w:hAnsi="Times New Roman" w:eastAsia="方正小标宋简体" w:cs="Times New Roman"/>
            </w:rPr>
            <w:fldChar w:fldCharType="end"/>
          </w:r>
        </w:p>
        <w:p>
          <w:pPr>
            <w:pStyle w:val="16"/>
            <w:tabs>
              <w:tab w:val="right" w:leader="dot" w:pos="8834"/>
            </w:tabs>
            <w:adjustRightInd w:val="0"/>
            <w:snapToGrid w:val="0"/>
            <w:spacing w:line="560" w:lineRule="exact"/>
            <w:ind w:left="0" w:leftChars="0" w:firstLine="0" w:firstLineChars="0"/>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"_Toc38271401" </w:instrText>
          </w:r>
          <w:r>
            <w:rPr>
              <w:rFonts w:hint="default" w:ascii="Times New Roman" w:hAnsi="Times New Roman" w:cs="Times New Roman"/>
            </w:rPr>
            <w:fldChar w:fldCharType="separate"/>
          </w:r>
          <w:r>
            <w:rPr>
              <w:rStyle w:val="21"/>
              <w:rFonts w:hint="default" w:ascii="Times New Roman" w:hAnsi="Times New Roman" w:eastAsia="方正小标宋简体" w:cs="Times New Roman"/>
            </w:rPr>
            <w:t>三、资料基本要求</w:t>
          </w:r>
          <w:r>
            <w:rPr>
              <w:rStyle w:val="21"/>
              <w:rFonts w:hint="default" w:ascii="Times New Roman" w:hAnsi="Times New Roman" w:eastAsia="方正小标宋简体" w:cs="Times New Roman"/>
            </w:rPr>
            <w:tab/>
          </w:r>
          <w:r>
            <w:rPr>
              <w:rStyle w:val="21"/>
              <w:rFonts w:hint="default" w:ascii="Times New Roman" w:hAnsi="Times New Roman" w:eastAsia="方正小标宋简体" w:cs="Times New Roman"/>
            </w:rPr>
            <w:fldChar w:fldCharType="begin"/>
          </w:r>
          <w:r>
            <w:rPr>
              <w:rStyle w:val="21"/>
              <w:rFonts w:hint="default" w:ascii="Times New Roman" w:hAnsi="Times New Roman" w:eastAsia="方正小标宋简体" w:cs="Times New Roman"/>
            </w:rPr>
            <w:instrText xml:space="preserve"> PAGEREF _Toc38271401 \h </w:instrText>
          </w:r>
          <w:r>
            <w:rPr>
              <w:rStyle w:val="21"/>
              <w:rFonts w:hint="default" w:ascii="Times New Roman" w:hAnsi="Times New Roman" w:eastAsia="方正小标宋简体" w:cs="Times New Roman"/>
            </w:rPr>
            <w:fldChar w:fldCharType="separate"/>
          </w:r>
          <w:r>
            <w:rPr>
              <w:rStyle w:val="21"/>
              <w:rFonts w:hint="default" w:ascii="Times New Roman" w:hAnsi="Times New Roman" w:eastAsia="方正小标宋简体" w:cs="Times New Roman"/>
            </w:rPr>
            <w:t>1</w:t>
          </w:r>
          <w:r>
            <w:rPr>
              <w:rStyle w:val="21"/>
              <w:rFonts w:hint="default" w:ascii="Times New Roman" w:hAnsi="Times New Roman" w:eastAsia="方正小标宋简体" w:cs="Times New Roman"/>
            </w:rPr>
            <w:fldChar w:fldCharType="end"/>
          </w:r>
          <w:r>
            <w:rPr>
              <w:rStyle w:val="21"/>
              <w:rFonts w:hint="default" w:ascii="Times New Roman" w:hAnsi="Times New Roman" w:eastAsia="方正小标宋简体" w:cs="Times New Roman"/>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"_Toc38271402"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（一）申请表的整理</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_Toc38271402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1</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"_Toc38271403"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（二）申报资料的整理</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_Toc38271403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1</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16"/>
            <w:tabs>
              <w:tab w:val="right" w:leader="dot" w:pos="8834"/>
            </w:tabs>
            <w:adjustRightInd w:val="0"/>
            <w:snapToGrid w:val="0"/>
            <w:spacing w:line="560" w:lineRule="exact"/>
            <w:ind w:left="0" w:leftChars="0" w:firstLine="0" w:firstLineChars="0"/>
            <w:rPr>
              <w:rStyle w:val="21"/>
              <w:rFonts w:hint="default" w:ascii="Times New Roman" w:hAnsi="Times New Roman" w:eastAsia="方正小标宋简体"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"_Toc38271404" </w:instrText>
          </w:r>
          <w:r>
            <w:rPr>
              <w:rFonts w:hint="default" w:ascii="Times New Roman" w:hAnsi="Times New Roman" w:cs="Times New Roman"/>
            </w:rPr>
            <w:fldChar w:fldCharType="separate"/>
          </w:r>
          <w:r>
            <w:rPr>
              <w:rStyle w:val="21"/>
              <w:rFonts w:hint="default" w:ascii="Times New Roman" w:hAnsi="Times New Roman" w:eastAsia="方正小标宋简体" w:cs="Times New Roman"/>
            </w:rPr>
            <w:t>四、形式审查要点</w:t>
          </w:r>
          <w:r>
            <w:rPr>
              <w:rStyle w:val="21"/>
              <w:rFonts w:hint="default" w:ascii="Times New Roman" w:hAnsi="Times New Roman" w:eastAsia="方正小标宋简体" w:cs="Times New Roman"/>
            </w:rPr>
            <w:tab/>
          </w:r>
          <w:r>
            <w:rPr>
              <w:rStyle w:val="21"/>
              <w:rFonts w:hint="default" w:ascii="Times New Roman" w:hAnsi="Times New Roman" w:eastAsia="方正小标宋简体" w:cs="Times New Roman"/>
            </w:rPr>
            <w:fldChar w:fldCharType="begin"/>
          </w:r>
          <w:r>
            <w:rPr>
              <w:rStyle w:val="21"/>
              <w:rFonts w:hint="default" w:ascii="Times New Roman" w:hAnsi="Times New Roman" w:eastAsia="方正小标宋简体" w:cs="Times New Roman"/>
            </w:rPr>
            <w:instrText xml:space="preserve"> PAGEREF _Toc38271404 \h </w:instrText>
          </w:r>
          <w:r>
            <w:rPr>
              <w:rStyle w:val="21"/>
              <w:rFonts w:hint="default" w:ascii="Times New Roman" w:hAnsi="Times New Roman" w:eastAsia="方正小标宋简体" w:cs="Times New Roman"/>
            </w:rPr>
            <w:fldChar w:fldCharType="separate"/>
          </w:r>
          <w:r>
            <w:rPr>
              <w:rStyle w:val="21"/>
              <w:rFonts w:hint="default" w:ascii="Times New Roman" w:hAnsi="Times New Roman" w:eastAsia="方正小标宋简体" w:cs="Times New Roman"/>
            </w:rPr>
            <w:t>2</w:t>
          </w:r>
          <w:r>
            <w:rPr>
              <w:rStyle w:val="21"/>
              <w:rFonts w:hint="default" w:ascii="Times New Roman" w:hAnsi="Times New Roman" w:eastAsia="方正小标宋简体" w:cs="Times New Roman"/>
            </w:rPr>
            <w:fldChar w:fldCharType="end"/>
          </w:r>
          <w:r>
            <w:rPr>
              <w:rStyle w:val="21"/>
              <w:rFonts w:hint="default" w:ascii="Times New Roman" w:hAnsi="Times New Roman" w:eastAsia="方正小标宋简体" w:cs="Times New Roman"/>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"_Toc38271405"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（一）申报事项审查要点</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_Toc38271405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2</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"_Toc38271407"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（二）申请表审查要点</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_Toc38271407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3</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"_Toc38271410"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（三）申报资料审查要点</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_Toc38271410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4</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"_Toc38271411"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（四）其他提示</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_Toc38271411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7</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16"/>
            <w:tabs>
              <w:tab w:val="right" w:leader="dot" w:pos="8834"/>
            </w:tabs>
            <w:adjustRightInd w:val="0"/>
            <w:snapToGrid w:val="0"/>
            <w:spacing w:line="560" w:lineRule="exact"/>
            <w:ind w:left="0" w:leftChars="0" w:firstLine="0" w:firstLineChars="0"/>
            <w:rPr>
              <w:rFonts w:hint="default" w:ascii="Times New Roman" w:hAnsi="Times New Roman" w:cs="Times New Roman" w:eastAsiaTheme="minorEastAsia"/>
              <w:sz w:val="21"/>
              <w:szCs w:val="22"/>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"_Toc38271412" </w:instrText>
          </w:r>
          <w:r>
            <w:rPr>
              <w:rFonts w:hint="default" w:ascii="Times New Roman" w:hAnsi="Times New Roman" w:cs="Times New Roman"/>
            </w:rPr>
            <w:fldChar w:fldCharType="separate"/>
          </w:r>
          <w:r>
            <w:rPr>
              <w:rStyle w:val="21"/>
              <w:rFonts w:hint="default" w:ascii="Times New Roman" w:hAnsi="Times New Roman" w:eastAsia="方正小标宋简体" w:cs="Times New Roman"/>
            </w:rPr>
            <w:t>五、受理审查决定</w:t>
          </w:r>
          <w:r>
            <w:rPr>
              <w:rStyle w:val="21"/>
              <w:rFonts w:hint="default" w:ascii="Times New Roman" w:hAnsi="Times New Roman" w:eastAsia="方正小标宋简体" w:cs="Times New Roman"/>
            </w:rPr>
            <w:tab/>
          </w:r>
          <w:r>
            <w:rPr>
              <w:rStyle w:val="21"/>
              <w:rFonts w:hint="default" w:ascii="Times New Roman" w:hAnsi="Times New Roman" w:eastAsia="方正小标宋简体" w:cs="Times New Roman"/>
            </w:rPr>
            <w:fldChar w:fldCharType="begin"/>
          </w:r>
          <w:r>
            <w:rPr>
              <w:rStyle w:val="21"/>
              <w:rFonts w:hint="default" w:ascii="Times New Roman" w:hAnsi="Times New Roman" w:eastAsia="方正小标宋简体" w:cs="Times New Roman"/>
            </w:rPr>
            <w:instrText xml:space="preserve"> PAGEREF _Toc38271412 \h </w:instrText>
          </w:r>
          <w:r>
            <w:rPr>
              <w:rStyle w:val="21"/>
              <w:rFonts w:hint="default" w:ascii="Times New Roman" w:hAnsi="Times New Roman" w:eastAsia="方正小标宋简体" w:cs="Times New Roman"/>
            </w:rPr>
            <w:fldChar w:fldCharType="separate"/>
          </w:r>
          <w:r>
            <w:rPr>
              <w:rStyle w:val="21"/>
              <w:rFonts w:hint="default" w:ascii="Times New Roman" w:hAnsi="Times New Roman" w:eastAsia="方正小标宋简体" w:cs="Times New Roman"/>
            </w:rPr>
            <w:t>7</w:t>
          </w:r>
          <w:r>
            <w:rPr>
              <w:rStyle w:val="21"/>
              <w:rFonts w:hint="default" w:ascii="Times New Roman" w:hAnsi="Times New Roman" w:eastAsia="方正小标宋简体" w:cs="Times New Roman"/>
            </w:rPr>
            <w:fldChar w:fldCharType="end"/>
          </w:r>
          <w:r>
            <w:rPr>
              <w:rStyle w:val="21"/>
              <w:rFonts w:hint="default" w:ascii="Times New Roman" w:hAnsi="Times New Roman" w:eastAsia="方正小标宋简体" w:cs="Times New Roman"/>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"_Toc38271413"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（一）受理</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_Toc38271413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7</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"_Toc38271414"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（二）补正</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_Toc38271414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8</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"_Toc38271415"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（三）不予受理</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_Toc38271415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8</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"_Toc38271416"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（四）受理流程图</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_Toc38271416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8</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16"/>
            <w:tabs>
              <w:tab w:val="right" w:leader="dot" w:pos="8834"/>
            </w:tabs>
            <w:adjustRightInd w:val="0"/>
            <w:snapToGrid w:val="0"/>
            <w:spacing w:line="560" w:lineRule="exact"/>
            <w:ind w:left="0" w:leftChars="0" w:firstLine="0" w:firstLineChars="0"/>
            <w:rPr>
              <w:rStyle w:val="21"/>
              <w:rFonts w:hint="default" w:ascii="Times New Roman" w:hAnsi="Times New Roman" w:eastAsia="方正小标宋简体"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"_Toc38271417" </w:instrText>
          </w:r>
          <w:r>
            <w:rPr>
              <w:rFonts w:hint="default" w:ascii="Times New Roman" w:hAnsi="Times New Roman" w:cs="Times New Roman"/>
            </w:rPr>
            <w:fldChar w:fldCharType="separate"/>
          </w:r>
          <w:r>
            <w:rPr>
              <w:rStyle w:val="21"/>
              <w:rFonts w:hint="default" w:ascii="Times New Roman" w:hAnsi="Times New Roman" w:eastAsia="方正小标宋简体" w:cs="Times New Roman"/>
            </w:rPr>
            <w:t>六、其他</w:t>
          </w:r>
          <w:r>
            <w:rPr>
              <w:rStyle w:val="21"/>
              <w:rFonts w:hint="default" w:ascii="Times New Roman" w:hAnsi="Times New Roman" w:eastAsia="方正小标宋简体" w:cs="Times New Roman"/>
            </w:rPr>
            <w:tab/>
          </w:r>
          <w:r>
            <w:rPr>
              <w:rStyle w:val="21"/>
              <w:rFonts w:hint="default" w:ascii="Times New Roman" w:hAnsi="Times New Roman" w:eastAsia="方正小标宋简体" w:cs="Times New Roman"/>
            </w:rPr>
            <w:fldChar w:fldCharType="begin"/>
          </w:r>
          <w:r>
            <w:rPr>
              <w:rStyle w:val="21"/>
              <w:rFonts w:hint="default" w:ascii="Times New Roman" w:hAnsi="Times New Roman" w:eastAsia="方正小标宋简体" w:cs="Times New Roman"/>
            </w:rPr>
            <w:instrText xml:space="preserve"> PAGEREF _Toc38271417 \h </w:instrText>
          </w:r>
          <w:r>
            <w:rPr>
              <w:rStyle w:val="21"/>
              <w:rFonts w:hint="default" w:ascii="Times New Roman" w:hAnsi="Times New Roman" w:eastAsia="方正小标宋简体" w:cs="Times New Roman"/>
            </w:rPr>
            <w:fldChar w:fldCharType="separate"/>
          </w:r>
          <w:r>
            <w:rPr>
              <w:rStyle w:val="21"/>
              <w:rFonts w:hint="default" w:ascii="Times New Roman" w:hAnsi="Times New Roman" w:eastAsia="方正小标宋简体" w:cs="Times New Roman"/>
            </w:rPr>
            <w:t>9</w:t>
          </w:r>
          <w:r>
            <w:rPr>
              <w:rStyle w:val="21"/>
              <w:rFonts w:hint="default" w:ascii="Times New Roman" w:hAnsi="Times New Roman" w:eastAsia="方正小标宋简体" w:cs="Times New Roman"/>
            </w:rPr>
            <w:fldChar w:fldCharType="end"/>
          </w:r>
          <w:r>
            <w:rPr>
              <w:rStyle w:val="21"/>
              <w:rFonts w:hint="default" w:ascii="Times New Roman" w:hAnsi="Times New Roman" w:eastAsia="方正小标宋简体" w:cs="Times New Roman"/>
            </w:rPr>
            <w:fldChar w:fldCharType="end"/>
          </w:r>
        </w:p>
        <w:p>
          <w:pPr>
            <w:pStyle w:val="16"/>
            <w:tabs>
              <w:tab w:val="right" w:leader="dot" w:pos="8834"/>
            </w:tabs>
            <w:adjustRightInd w:val="0"/>
            <w:snapToGrid w:val="0"/>
            <w:spacing w:line="560" w:lineRule="exact"/>
            <w:ind w:left="0" w:leftChars="0" w:firstLine="0" w:firstLineChars="0"/>
            <w:rPr>
              <w:rStyle w:val="21"/>
              <w:rFonts w:hint="default" w:ascii="Times New Roman" w:hAnsi="Times New Roman" w:eastAsia="方正小标宋简体"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"_Toc38271418" </w:instrText>
          </w:r>
          <w:r>
            <w:rPr>
              <w:rFonts w:hint="default" w:ascii="Times New Roman" w:hAnsi="Times New Roman" w:cs="Times New Roman"/>
            </w:rPr>
            <w:fldChar w:fldCharType="separate"/>
          </w:r>
          <w:r>
            <w:rPr>
              <w:rStyle w:val="21"/>
              <w:rFonts w:hint="default" w:ascii="Times New Roman" w:hAnsi="Times New Roman" w:eastAsia="方正小标宋简体" w:cs="Times New Roman"/>
            </w:rPr>
            <w:t>七、附件</w:t>
          </w:r>
          <w:r>
            <w:rPr>
              <w:rStyle w:val="21"/>
              <w:rFonts w:hint="default" w:ascii="Times New Roman" w:hAnsi="Times New Roman" w:eastAsia="方正小标宋简体" w:cs="Times New Roman"/>
            </w:rPr>
            <w:tab/>
          </w:r>
          <w:r>
            <w:rPr>
              <w:rStyle w:val="21"/>
              <w:rFonts w:hint="default" w:ascii="Times New Roman" w:hAnsi="Times New Roman" w:eastAsia="方正小标宋简体" w:cs="Times New Roman"/>
            </w:rPr>
            <w:fldChar w:fldCharType="begin"/>
          </w:r>
          <w:r>
            <w:rPr>
              <w:rStyle w:val="21"/>
              <w:rFonts w:hint="default" w:ascii="Times New Roman" w:hAnsi="Times New Roman" w:eastAsia="方正小标宋简体" w:cs="Times New Roman"/>
            </w:rPr>
            <w:instrText xml:space="preserve"> PAGEREF _Toc38271418 \h </w:instrText>
          </w:r>
          <w:r>
            <w:rPr>
              <w:rStyle w:val="21"/>
              <w:rFonts w:hint="default" w:ascii="Times New Roman" w:hAnsi="Times New Roman" w:eastAsia="方正小标宋简体" w:cs="Times New Roman"/>
            </w:rPr>
            <w:fldChar w:fldCharType="separate"/>
          </w:r>
          <w:r>
            <w:rPr>
              <w:rStyle w:val="21"/>
              <w:rFonts w:hint="default" w:ascii="Times New Roman" w:hAnsi="Times New Roman" w:eastAsia="方正小标宋简体" w:cs="Times New Roman"/>
            </w:rPr>
            <w:t>9</w:t>
          </w:r>
          <w:r>
            <w:rPr>
              <w:rStyle w:val="21"/>
              <w:rFonts w:hint="default" w:ascii="Times New Roman" w:hAnsi="Times New Roman" w:eastAsia="方正小标宋简体" w:cs="Times New Roman"/>
            </w:rPr>
            <w:fldChar w:fldCharType="end"/>
          </w:r>
          <w:r>
            <w:rPr>
              <w:rStyle w:val="21"/>
              <w:rFonts w:hint="default" w:ascii="Times New Roman" w:hAnsi="Times New Roman" w:eastAsia="方正小标宋简体" w:cs="Times New Roman"/>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"_Toc38271419"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1．化学药品变更申报资料自查表</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_Toc38271419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10</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pStyle w:val="9"/>
            <w:tabs>
              <w:tab w:val="right" w:leader="dot" w:pos="8834"/>
            </w:tabs>
            <w:adjustRightInd w:val="0"/>
            <w:snapToGrid w:val="0"/>
            <w:spacing w:line="560" w:lineRule="exact"/>
            <w:ind w:left="0" w:leftChars="0" w:firstLine="640"/>
            <w:rPr>
              <w:rStyle w:val="21"/>
              <w:rFonts w:hint="default" w:ascii="Times New Roman" w:hAnsi="Times New Roman" w:cs="Times New Roman"/>
              <w:color w:val="auto"/>
              <w:u w:val="none"/>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"_Toc38271421" </w:instrText>
          </w:r>
          <w:r>
            <w:rPr>
              <w:rFonts w:hint="default" w:ascii="Times New Roman" w:hAnsi="Times New Roman" w:cs="Times New Roman"/>
            </w:rPr>
            <w:fldChar w:fldCharType="separate"/>
          </w:r>
          <w:r>
            <w:rPr>
              <w:rStyle w:val="21"/>
              <w:rFonts w:hint="default" w:ascii="Times New Roman" w:hAnsi="Times New Roman" w:cs="Times New Roman"/>
              <w:color w:val="auto"/>
              <w:u w:val="none"/>
            </w:rPr>
            <w:t>2．参考目录</w:t>
          </w:r>
          <w:r>
            <w:rPr>
              <w:rStyle w:val="21"/>
              <w:rFonts w:hint="default" w:ascii="Times New Roman" w:hAnsi="Times New Roman" w:cs="Times New Roman"/>
              <w:color w:val="auto"/>
              <w:u w:val="none"/>
            </w:rPr>
            <w:tab/>
          </w:r>
          <w:r>
            <w:rPr>
              <w:rStyle w:val="21"/>
              <w:rFonts w:hint="default" w:ascii="Times New Roman" w:hAnsi="Times New Roman" w:cs="Times New Roman"/>
              <w:color w:val="auto"/>
              <w:u w:val="none"/>
            </w:rPr>
            <w:fldChar w:fldCharType="begin"/>
          </w:r>
          <w:r>
            <w:rPr>
              <w:rStyle w:val="21"/>
              <w:rFonts w:hint="default" w:ascii="Times New Roman" w:hAnsi="Times New Roman" w:cs="Times New Roman"/>
              <w:color w:val="auto"/>
              <w:u w:val="none"/>
            </w:rPr>
            <w:instrText xml:space="preserve"> PAGEREF _Toc38271421 \h </w:instrText>
          </w:r>
          <w:r>
            <w:rPr>
              <w:rStyle w:val="21"/>
              <w:rFonts w:hint="default" w:ascii="Times New Roman" w:hAnsi="Times New Roman" w:cs="Times New Roman"/>
              <w:color w:val="auto"/>
              <w:u w:val="none"/>
            </w:rPr>
            <w:fldChar w:fldCharType="separate"/>
          </w:r>
          <w:r>
            <w:rPr>
              <w:rStyle w:val="21"/>
              <w:rFonts w:hint="default" w:ascii="Times New Roman" w:hAnsi="Times New Roman" w:cs="Times New Roman"/>
              <w:color w:val="auto"/>
              <w:u w:val="none"/>
            </w:rPr>
            <w:t>11</w:t>
          </w:r>
          <w:r>
            <w:rPr>
              <w:rStyle w:val="21"/>
              <w:rFonts w:hint="default" w:ascii="Times New Roman" w:hAnsi="Times New Roman" w:cs="Times New Roman"/>
              <w:color w:val="auto"/>
              <w:u w:val="none"/>
            </w:rPr>
            <w:fldChar w:fldCharType="end"/>
          </w:r>
          <w:r>
            <w:rPr>
              <w:rStyle w:val="21"/>
              <w:rFonts w:hint="default" w:ascii="Times New Roman" w:hAnsi="Times New Roman" w:cs="Times New Roman"/>
              <w:color w:val="auto"/>
              <w:u w:val="none"/>
            </w:rPr>
            <w:fldChar w:fldCharType="end"/>
          </w:r>
        </w:p>
        <w:p>
          <w:pPr>
            <w:spacing w:line="560" w:lineRule="exact"/>
            <w:ind w:firstLine="0" w:firstLineChars="0"/>
            <w:sectPr>
              <w:footerReference r:id="rId9" w:type="default"/>
              <w:pgSz w:w="11906" w:h="16838"/>
              <w:pgMar w:top="1928" w:right="1531" w:bottom="1814" w:left="1531" w:header="851" w:footer="992" w:gutter="0"/>
              <w:pgNumType w:start="1"/>
              <w:cols w:space="0" w:num="1"/>
              <w:rtlGutter w:val="0"/>
              <w:docGrid w:type="lines" w:linePitch="436" w:charSpace="0"/>
            </w:sectPr>
          </w:pPr>
          <w:r>
            <w:rPr>
              <w:rFonts w:hint="default" w:ascii="Times New Roman" w:hAnsi="Times New Roman" w:cs="Times New Roman"/>
              <w:b/>
              <w:bCs/>
              <w:lang w:val="zh-CN"/>
            </w:rPr>
            <w:fldChar w:fldCharType="end"/>
          </w:r>
        </w:p>
      </w:sdtContent>
    </w:sdt>
    <w:p>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outlineLvl w:val="9"/>
        <w:rPr>
          <w:rFonts w:ascii="方正小标宋简体" w:hAnsi="黑体" w:eastAsia="方正小标宋简体"/>
          <w:sz w:val="44"/>
          <w:szCs w:val="44"/>
        </w:rPr>
      </w:pP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outlineLvl w:val="9"/>
        <w:rPr>
          <w:rFonts w:ascii="方正小标宋简体" w:hAnsi="黑体" w:eastAsia="方正小标宋简体"/>
          <w:sz w:val="44"/>
          <w:szCs w:val="44"/>
        </w:rPr>
      </w:pPr>
      <w:r>
        <w:rPr>
          <w:rFonts w:hint="eastAsia" w:ascii="方正小标宋简体" w:hAnsi="黑体" w:eastAsia="方正小标宋简体"/>
          <w:sz w:val="44"/>
          <w:szCs w:val="44"/>
        </w:rPr>
        <w:t>化学药品变更受理审查指南</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outlineLvl w:val="9"/>
        <w:rPr>
          <w:rFonts w:ascii="方正小标宋简体" w:hAnsi="黑体" w:eastAsia="方正小标宋简体"/>
          <w:sz w:val="44"/>
          <w:szCs w:val="44"/>
        </w:rPr>
      </w:pPr>
      <w:r>
        <w:rPr>
          <w:rFonts w:hint="eastAsia" w:ascii="方正小标宋简体" w:hAnsi="黑体" w:eastAsia="方正小标宋简体"/>
          <w:sz w:val="44"/>
          <w:szCs w:val="44"/>
        </w:rPr>
        <w:t>（征求意见稿）</w:t>
      </w:r>
    </w:p>
    <w:p>
      <w:pPr>
        <w:keepNext w:val="0"/>
        <w:keepLines w:val="0"/>
        <w:pageBreakBefore w:val="0"/>
        <w:widowControl w:val="0"/>
        <w:kinsoku/>
        <w:wordWrap/>
        <w:overflowPunct/>
        <w:topLinePunct w:val="0"/>
        <w:autoSpaceDE/>
        <w:autoSpaceDN/>
        <w:bidi w:val="0"/>
        <w:adjustRightInd/>
        <w:snapToGrid w:val="0"/>
        <w:spacing w:line="560" w:lineRule="exact"/>
        <w:ind w:firstLine="0" w:firstLineChars="0"/>
        <w:jc w:val="center"/>
        <w:textAlignment w:val="auto"/>
        <w:outlineLvl w:val="9"/>
        <w:rPr>
          <w:rFonts w:ascii="方正小标宋简体" w:hAnsi="黑体" w:eastAsia="方正小标宋简体"/>
          <w:sz w:val="44"/>
          <w:szCs w:val="44"/>
        </w:rPr>
      </w:pPr>
    </w:p>
    <w:p>
      <w:pPr>
        <w:pStyle w:val="2"/>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0" w:name="_Toc38271399"/>
      <w:bookmarkStart w:id="1" w:name="_Toc498516296"/>
      <w:r>
        <w:rPr>
          <w:rFonts w:hint="default" w:ascii="Times New Roman" w:hAnsi="Times New Roman" w:cs="Times New Roman"/>
        </w:rPr>
        <w:t>一、适用范围</w:t>
      </w:r>
      <w:bookmarkEnd w:id="0"/>
      <w:bookmarkEnd w:id="1"/>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color w:val="000000"/>
        </w:rPr>
      </w:pPr>
      <w:r>
        <w:rPr>
          <w:rFonts w:hint="default" w:ascii="Times New Roman" w:hAnsi="Times New Roman" w:cs="Times New Roman"/>
          <w:color w:val="000000"/>
        </w:rPr>
        <w:t>国家药品监督管理部门审批的补充申请事项；国家药品监督管理部门备案事项（境外生产药品适用）以及《药品注册管理办法》中规定的药物临床试验期间变更事项。</w:t>
      </w:r>
      <w:r>
        <w:rPr>
          <w:rFonts w:hint="default" w:ascii="Times New Roman" w:hAnsi="Times New Roman" w:cs="Times New Roman"/>
        </w:rPr>
        <w:t xml:space="preserve"> </w:t>
      </w:r>
    </w:p>
    <w:p>
      <w:pPr>
        <w:pStyle w:val="2"/>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2" w:name="_Toc38271400"/>
      <w:bookmarkStart w:id="3" w:name="_Toc498516297"/>
      <w:r>
        <w:rPr>
          <w:rFonts w:hint="default" w:ascii="Times New Roman" w:hAnsi="Times New Roman" w:cs="Times New Roman"/>
        </w:rPr>
        <w:t>二、受理部门</w:t>
      </w:r>
      <w:bookmarkEnd w:id="2"/>
      <w:bookmarkEnd w:id="3"/>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由国家药品监督管理局药品审评中心受理。</w:t>
      </w:r>
    </w:p>
    <w:p>
      <w:pPr>
        <w:pStyle w:val="2"/>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4" w:name="_Toc498516298"/>
      <w:bookmarkStart w:id="5" w:name="_Toc38271401"/>
      <w:r>
        <w:rPr>
          <w:rFonts w:hint="default" w:ascii="Times New Roman" w:hAnsi="Times New Roman" w:cs="Times New Roman"/>
        </w:rPr>
        <w:t>三、资料基本要求</w:t>
      </w:r>
      <w:bookmarkEnd w:id="4"/>
      <w:bookmarkEnd w:id="5"/>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按照《药品注册管理办法》及《已上市化学药品变更事项及申报资料要求》等规定，提供符合要求的申报资料。目录及项目编号不能改变，对应项目无相关信息或研究资料，项目编号和名称也应保留，可在项下注明“不适用”并说明理由。</w:t>
      </w:r>
    </w:p>
    <w:p>
      <w:pPr>
        <w:pStyle w:val="3"/>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6" w:name="_Toc38271402"/>
      <w:bookmarkStart w:id="7" w:name="_Toc498516299"/>
      <w:r>
        <w:rPr>
          <w:rFonts w:hint="default" w:ascii="Times New Roman" w:hAnsi="Times New Roman" w:cs="Times New Roman"/>
        </w:rPr>
        <w:t>（一）申请表的整理</w:t>
      </w:r>
      <w:bookmarkEnd w:id="6"/>
      <w:bookmarkEnd w:id="7"/>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药品注册申请表、申报资料自查表、小型微型企业收费优惠申请表（如适用）与申报资料份数一致，均为原件。填写应当准确、完整、规范，不得手写或涂改，并应符合填表说明的要求。</w:t>
      </w:r>
    </w:p>
    <w:p>
      <w:pPr>
        <w:pStyle w:val="3"/>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8" w:name="_Toc498516300"/>
      <w:bookmarkStart w:id="9" w:name="_Toc38271403"/>
      <w:r>
        <w:rPr>
          <w:rFonts w:hint="default" w:ascii="Times New Roman" w:hAnsi="Times New Roman" w:cs="Times New Roman"/>
        </w:rPr>
        <w:t>（二）申报资料的整理</w:t>
      </w:r>
      <w:bookmarkEnd w:id="8"/>
      <w:bookmarkEnd w:id="9"/>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2套完整申请资料（至少1套为原件），每套装入相应的申请表，申报资料首页为申报资料项目目录，具体要求详见《申报资料基本要求》。</w:t>
      </w:r>
    </w:p>
    <w:p>
      <w:pPr>
        <w:pStyle w:val="2"/>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10" w:name="_四、申请表形式审查审查要点（视申请表填表说明修改情况而定）"/>
      <w:bookmarkEnd w:id="10"/>
      <w:bookmarkStart w:id="11" w:name="_Toc38271404"/>
      <w:bookmarkStart w:id="12" w:name="_Toc498516301"/>
      <w:r>
        <w:rPr>
          <w:rFonts w:hint="default" w:ascii="Times New Roman" w:hAnsi="Times New Roman" w:cs="Times New Roman"/>
        </w:rPr>
        <w:t>四、形式审查要点</w:t>
      </w:r>
      <w:bookmarkEnd w:id="11"/>
      <w:bookmarkEnd w:id="12"/>
    </w:p>
    <w:p>
      <w:pPr>
        <w:pStyle w:val="3"/>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13" w:name="_Toc38271405"/>
      <w:bookmarkStart w:id="14" w:name="_Toc33798933"/>
      <w:r>
        <w:rPr>
          <w:rFonts w:hint="default" w:ascii="Times New Roman" w:hAnsi="Times New Roman" w:cs="Times New Roman"/>
        </w:rPr>
        <w:t>（一）申报事项审查要点</w:t>
      </w:r>
      <w:bookmarkEnd w:id="13"/>
      <w:bookmarkEnd w:id="14"/>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kern w:val="0"/>
        </w:rPr>
        <w:t>．</w:t>
      </w:r>
      <w:r>
        <w:rPr>
          <w:rFonts w:hint="default" w:ascii="Times New Roman" w:hAnsi="Times New Roman" w:cs="Times New Roman"/>
        </w:rPr>
        <w:t>对附条件批准的药品，持有人应当在规定期限内按照要求完成药物临床试验等相关研究，以补充申请方式申报。</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药品注册证书及附件要求持有人在药品上市后开展相关研究工作的，持有人应当在规定时限内完成，并按照《已上市化学药品变更事项及申报资料要求》中的“国家药品监管部门规定需要审批/备案/年报的其他变更事项”申报。</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kern w:val="0"/>
        </w:rPr>
        <w:t>．</w:t>
      </w:r>
      <w:r>
        <w:rPr>
          <w:rFonts w:hint="default" w:ascii="Times New Roman" w:hAnsi="Times New Roman" w:cs="Times New Roman"/>
        </w:rPr>
        <w:t>对于已上市化学药品发生变更的，申请人应参照相关技术指导原则进行全面评估，按照《已上市化学药品变更事项及申报资料要求》选择变更事项。</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如经备案审查发现变更事项与实际情况不符的，申请人应主动撤回，修改完善后再行提交。</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如经审评发现审批类变更事项与实际情况不符的，申请人可选择主动撤回，修改完善后再行提交；也可选择继续办理其申请。</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kern w:val="0"/>
        </w:rPr>
        <w:t>．</w:t>
      </w:r>
      <w:r>
        <w:rPr>
          <w:rFonts w:hint="default" w:ascii="Times New Roman" w:hAnsi="Times New Roman" w:cs="Times New Roman"/>
        </w:rPr>
        <w:t>药物临床试验被责令暂停后，申办者拟继续开展药物临床试验的，应当在完成整改后提出恢复药物临床试验的补充申请。</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临床试验期间，对于变更临床试验方案、重大药学变更、非临床研究重要安全性发现等可能增加受试者安全性风险的，申办者应按照相关规定及时递交补充申请；若申办者同时发生变更的，由变更后的申办者提交补充申请，并提交相关证明文件。</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kern w:val="0"/>
        </w:rPr>
        <w:t>．</w:t>
      </w:r>
      <w:r>
        <w:rPr>
          <w:rFonts w:hint="default" w:ascii="Times New Roman" w:hAnsi="Times New Roman" w:cs="Times New Roman"/>
        </w:rPr>
        <w:t>新修订《药品管理法》实施前批准的药品，上市许可持有人应当按照新修订《药品管理法》第四十九条和《国家药监局关于贯彻实施〈中华人民共和国药品管理法〉有关事项的公告》（2019年第103号）关于上市许可持有人制度的有关规定更新说明书和标签中上市许可持有人的相关信息，境外生产药品在药品审评中心备案。国家药品监督管理局对说明书和标签修订另有要求的除外。</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kern w:val="0"/>
        </w:rPr>
        <w:t>．</w:t>
      </w:r>
      <w:r>
        <w:rPr>
          <w:rFonts w:hint="default" w:ascii="Times New Roman" w:hAnsi="Times New Roman" w:cs="Times New Roman"/>
        </w:rPr>
        <w:t>多个变更事项可合并提出补充申请。</w:t>
      </w:r>
    </w:p>
    <w:p>
      <w:pPr>
        <w:pStyle w:val="3"/>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15" w:name="_Toc38271406"/>
      <w:r>
        <w:rPr>
          <w:rFonts w:hint="default" w:ascii="Times New Roman" w:hAnsi="Times New Roman" w:cs="Times New Roman"/>
        </w:rPr>
        <w:t>（二）</w:t>
      </w:r>
      <w:bookmarkEnd w:id="15"/>
      <w:bookmarkStart w:id="16" w:name="_Toc38271407"/>
      <w:r>
        <w:rPr>
          <w:rFonts w:hint="default" w:ascii="Times New Roman" w:hAnsi="Times New Roman" w:cs="Times New Roman"/>
        </w:rPr>
        <w:t>申请表审查要点</w:t>
      </w:r>
      <w:bookmarkEnd w:id="16"/>
    </w:p>
    <w:p>
      <w:pPr>
        <w:pageBreakBefore w:val="0"/>
        <w:kinsoku/>
        <w:wordWrap/>
        <w:overflowPunct w:val="0"/>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按照药品注册申请表填表说明的要求规范填写申请表，填报信息应与证明文件中相应内容保持一致。</w:t>
      </w:r>
    </w:p>
    <w:p>
      <w:pPr>
        <w:pageBreakBefore w:val="0"/>
        <w:kinsoku/>
        <w:wordWrap/>
        <w:overflowPunct w:val="0"/>
        <w:topLinePunct w:val="0"/>
        <w:autoSpaceDE/>
        <w:autoSpaceDN/>
        <w:bidi w:val="0"/>
        <w:adjustRightInd/>
        <w:spacing w:line="560" w:lineRule="exact"/>
        <w:ind w:firstLine="640" w:firstLineChars="200"/>
        <w:jc w:val="both"/>
        <w:textAlignment w:val="auto"/>
        <w:outlineLvl w:val="2"/>
        <w:rPr>
          <w:rFonts w:hint="default" w:ascii="Times New Roman" w:hAnsi="Times New Roman" w:cs="Times New Roman"/>
        </w:rPr>
      </w:pPr>
      <w:bookmarkStart w:id="17" w:name="_Toc38271408"/>
      <w:r>
        <w:rPr>
          <w:rFonts w:hint="default" w:ascii="Times New Roman" w:hAnsi="Times New Roman" w:cs="Times New Roman"/>
        </w:rPr>
        <w:t>1．除提出变更的内容外，其余均应与药品批准证明文件保持一致，发生变更的应填写变更后内容。</w:t>
      </w:r>
      <w:bookmarkEnd w:id="17"/>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2．药品注册分类：按本品种原批准的注册分类属性选择相应的选项。</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3．同品种已被受理或同期申报的其他制剂及规格：填写该品种已被受理或同期申报的制剂或不同规格品种的受理号及名称，包括联合用药的制剂受理号及名称。</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4．补充申请的内容：应简要填写本次补充申请所变更的各项具体内容，应与申请表第5项申请事项分类保持一致，并涵盖申报资料中所申请的变更内容。</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5．本次申请为：填写申报品种本次属于第几次申报。简要说明既往申报及审批情况，如申请人自行撤回或因资料不符合审批要求曾被国家药品监督管理局不予批准等情况。原申请审批结束后，方可再行申报。</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6．申请人及委托研究机构</w:t>
      </w:r>
    </w:p>
    <w:p>
      <w:pPr>
        <w:pageBreakBefore w:val="0"/>
        <w:kinsoku/>
        <w:wordWrap/>
        <w:overflowPunct w:val="0"/>
        <w:topLinePunct w:val="0"/>
        <w:autoSpaceDE/>
        <w:autoSpaceDN/>
        <w:bidi w:val="0"/>
        <w:adjustRightInd/>
        <w:spacing w:line="560" w:lineRule="exact"/>
        <w:ind w:firstLine="640" w:firstLineChars="200"/>
        <w:jc w:val="both"/>
        <w:textAlignment w:val="auto"/>
        <w:outlineLvl w:val="2"/>
        <w:rPr>
          <w:rFonts w:hint="default" w:ascii="Times New Roman" w:hAnsi="Times New Roman" w:cs="Times New Roman"/>
        </w:rPr>
      </w:pPr>
      <w:r>
        <w:rPr>
          <w:rFonts w:hint="default" w:ascii="Times New Roman" w:hAnsi="Times New Roman" w:cs="Times New Roman"/>
        </w:rPr>
        <w:t>所填报的信息应与证明文件中相应内容保持一致，并指定其中一个申请机构负责向国家缴纳注册费用（需缴费事项适用）。已经填入的申请人各机构均应当由其法定代表人或接受其授权者（另需提供签字授权书原件）在此签名、加盖机构公章（须与其机构名称完全一致）。</w:t>
      </w:r>
    </w:p>
    <w:p>
      <w:pPr>
        <w:pStyle w:val="3"/>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18" w:name="_Toc498516302"/>
      <w:bookmarkStart w:id="19" w:name="_Toc38271410"/>
      <w:r>
        <w:rPr>
          <w:rFonts w:hint="default" w:ascii="Times New Roman" w:hAnsi="Times New Roman" w:cs="Times New Roman"/>
        </w:rPr>
        <w:t>（三）申报资料审查要点</w:t>
      </w:r>
      <w:bookmarkEnd w:id="18"/>
      <w:bookmarkEnd w:id="19"/>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kern w:val="0"/>
        </w:rPr>
        <w:t>．</w:t>
      </w:r>
      <w:r>
        <w:rPr>
          <w:rFonts w:hint="default" w:ascii="Times New Roman" w:hAnsi="Times New Roman" w:cs="Times New Roman"/>
        </w:rPr>
        <w:t>药品注册证书及其附件的复印件</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包括申报药品历次获得的批准文件，应能够清晰了解该品种完整的历史演变过程和目前状况。如药品注册证书、补充申请批件、药品标准修订批件、临床试验通知书等。附件包括上述批件的附件，如药品的质量标准、生产工艺、说明书、标签及其他附件。</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kern w:val="0"/>
        </w:rPr>
        <w:t>．</w:t>
      </w:r>
      <w:r>
        <w:rPr>
          <w:rFonts w:hint="default" w:ascii="Times New Roman" w:hAnsi="Times New Roman" w:cs="Times New Roman"/>
        </w:rPr>
        <w:t>证明性文件</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2.1申请人/生产企业证明性文件</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2.1.1申请人及生产企业机构合法登记证明文件（营业执照等）。申请人及生产企业药品生产许可证及其变更记录页（上市后变更适用）。</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2.1.2 境外申请人指定中国境内的企业法人办理相关药品注册事项的，应当提供委托文书、公证文书及中文译文，以及注册代理机构的营业执照复印件。</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2.2允许药品变更的证明文件</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对于境外生产药品上市后变更的，应当提交境外药品管理机构出具的允许药品变更的证明文件、公证认证文书及中文译文。除涉及增加药品规格、制剂的生产场地变更、上市许可持有人、生产企业名称或注册地址名称变更外，境外药品管理机构不能出具有关证明文件的，可以依据当地法律法规的规定做出说明。</w:t>
      </w:r>
    </w:p>
    <w:p>
      <w:pPr>
        <w:pStyle w:val="43"/>
        <w:pageBreakBefore w:val="0"/>
        <w:kinsoku/>
        <w:wordWrap/>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2.3申请使用/变更药品商品名的，应提供商标注册证。</w:t>
      </w:r>
    </w:p>
    <w:p>
      <w:pPr>
        <w:pStyle w:val="43"/>
        <w:pageBreakBefore w:val="0"/>
        <w:kinsoku/>
        <w:wordWrap/>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2.4改变境外生产场地或包装厂的，应提交境外药品管理机构出具的该药品生产企业/包装厂符合药品生产质量管理规范的证明文件。</w:t>
      </w:r>
    </w:p>
    <w:p>
      <w:pPr>
        <w:pStyle w:val="43"/>
        <w:pageBreakBefore w:val="0"/>
        <w:kinsoku/>
        <w:wordWrap/>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2.5 根据国家药品标准或者国家药品监督管理局的要求修改境外生产药品说明书的，应提供新的国家药品标准或者国家药品监督管理局要求修改说明书的文件。</w:t>
      </w:r>
    </w:p>
    <w:p>
      <w:pPr>
        <w:pStyle w:val="43"/>
        <w:pageBreakBefore w:val="0"/>
        <w:kinsoku/>
        <w:wordWrap/>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cs="Times New Roman"/>
          <w:color w:val="000000"/>
        </w:rPr>
      </w:pPr>
      <w:r>
        <w:rPr>
          <w:rFonts w:hint="default" w:ascii="Times New Roman" w:hAnsi="Times New Roman" w:eastAsia="仿宋_GB2312" w:cs="Times New Roman"/>
          <w:color w:val="000000"/>
          <w:sz w:val="32"/>
          <w:szCs w:val="32"/>
        </w:rPr>
        <w:t>2.6按规定变更境外生产药品包装标签的，应提供有关规定的文件内容。</w:t>
      </w:r>
    </w:p>
    <w:p>
      <w:pPr>
        <w:pStyle w:val="43"/>
        <w:pageBreakBefore w:val="0"/>
        <w:kinsoku/>
        <w:wordWrap/>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2.7对于国家药品监管部门规定的其他事项变更的，应提交相关规定。</w:t>
      </w:r>
    </w:p>
    <w:p>
      <w:pPr>
        <w:pStyle w:val="43"/>
        <w:pageBreakBefore w:val="0"/>
        <w:kinsoku/>
        <w:wordWrap/>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cs="Times New Roman"/>
          <w:color w:val="000000"/>
        </w:rPr>
      </w:pPr>
      <w:r>
        <w:rPr>
          <w:rFonts w:hint="default" w:ascii="Times New Roman" w:hAnsi="Times New Roman" w:eastAsia="仿宋_GB2312" w:cs="Times New Roman"/>
          <w:color w:val="000000"/>
          <w:sz w:val="32"/>
          <w:szCs w:val="32"/>
        </w:rPr>
        <w:t>2.8境外生产药品注册代理机构发生变更的，应提供境外持有人解除原委托代理注册关系的文书、公证文书及中文译文。</w:t>
      </w:r>
    </w:p>
    <w:p>
      <w:pPr>
        <w:pStyle w:val="43"/>
        <w:pageBreakBefore w:val="0"/>
        <w:kinsoku/>
        <w:wordWrap/>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cs="Times New Roman"/>
          <w:color w:val="000000"/>
        </w:rPr>
      </w:pPr>
      <w:r>
        <w:rPr>
          <w:rFonts w:hint="default" w:ascii="Times New Roman" w:hAnsi="Times New Roman" w:eastAsia="仿宋_GB2312" w:cs="Times New Roman"/>
          <w:color w:val="000000"/>
          <w:sz w:val="32"/>
          <w:szCs w:val="32"/>
        </w:rPr>
        <w:t>2.9原料药、药用辅料及药包材证明文件（涉及变更时适用）</w:t>
      </w:r>
    </w:p>
    <w:p>
      <w:pPr>
        <w:pStyle w:val="43"/>
        <w:pageBreakBefore w:val="0"/>
        <w:kinsoku/>
        <w:wordWrap/>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cs="Times New Roman"/>
          <w:color w:val="000000"/>
        </w:rPr>
      </w:pPr>
      <w:r>
        <w:rPr>
          <w:rFonts w:hint="default" w:ascii="Times New Roman" w:hAnsi="Times New Roman" w:eastAsia="仿宋_GB2312" w:cs="Times New Roman"/>
          <w:color w:val="000000"/>
          <w:sz w:val="32"/>
          <w:szCs w:val="32"/>
        </w:rPr>
        <w:t>2.9.1原料药、药用辅料及药包材合法来源证明文件，包括供货协议、发票等。</w:t>
      </w:r>
    </w:p>
    <w:p>
      <w:pPr>
        <w:pStyle w:val="43"/>
        <w:pageBreakBefore w:val="0"/>
        <w:kinsoku/>
        <w:wordWrap/>
        <w:topLinePunct w:val="0"/>
        <w:autoSpaceDE/>
        <w:autoSpaceDN/>
        <w:bidi w:val="0"/>
        <w:adjustRightInd/>
        <w:spacing w:before="0" w:beforeAutospacing="0" w:after="0" w:afterAutospacing="0" w:line="560" w:lineRule="exact"/>
        <w:ind w:firstLine="640" w:firstLineChars="200"/>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2.9.2制剂选用已登记原辅包关联审评时，还应提交原料药、药用辅料及药包材使用授权书复印件（如适用）。如为供应商出具，需有原料药、药用辅料和药包材企业授权，并附授权信。</w:t>
      </w:r>
    </w:p>
    <w:p>
      <w:pPr>
        <w:pageBreakBefore w:val="0"/>
        <w:kinsoku/>
        <w:wordWrap/>
        <w:overflowPunct w:val="0"/>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2.10委托研究相关证明文件</w:t>
      </w:r>
    </w:p>
    <w:p>
      <w:pPr>
        <w:pageBreakBefore w:val="0"/>
        <w:kinsoku/>
        <w:wordWrap/>
        <w:overflowPunct w:val="0"/>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w:t>
      </w:r>
    </w:p>
    <w:p>
      <w:pPr>
        <w:pageBreakBefore w:val="0"/>
        <w:kinsoku/>
        <w:wordWrap/>
        <w:overflowPunct w:val="0"/>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非临床研究安全性评价机构应提供《药物非临床研究质量管理规范》（简称GLP）资质证明。采用境外已经完成的药理毒理研究资料支持境内申请人提交申请的，应符合《有关提交境外完成的非临床试验相关证明性文件的要求》。临床试验机构应提供备案证明。</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kern w:val="0"/>
        </w:rPr>
        <w:t>．</w:t>
      </w:r>
      <w:r>
        <w:rPr>
          <w:rFonts w:hint="default" w:ascii="Times New Roman" w:hAnsi="Times New Roman" w:cs="Times New Roman"/>
        </w:rPr>
        <w:t>检查相关信息（如适用）</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根据申请变更事项提供相应资料，包括药品研制情况信息表，药品生产情况信息表，现场主文件清单，药品注册临床试验研究信息表，临床试验信息表，标准复核意见及样品检验报告,质量标准,生产工艺信息表。</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kern w:val="0"/>
        </w:rPr>
        <w:t>．</w:t>
      </w:r>
      <w:r>
        <w:rPr>
          <w:rFonts w:hint="default" w:ascii="Times New Roman" w:hAnsi="Times New Roman" w:cs="Times New Roman"/>
        </w:rPr>
        <w:t>临床试验报告封面应符合临床试验报告相关指导原则要求，并应加盖临床研究机构有效公章，印章应加盖在文字处。临床试验数据库资料参照相关要求执行。（如适用）</w:t>
      </w:r>
    </w:p>
    <w:p>
      <w:pPr>
        <w:pStyle w:val="3"/>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20" w:name="_Toc38271411"/>
      <w:r>
        <w:rPr>
          <w:rFonts w:hint="default" w:ascii="Times New Roman" w:hAnsi="Times New Roman" w:cs="Times New Roman"/>
        </w:rPr>
        <w:t>（四）其他提示</w:t>
      </w:r>
      <w:bookmarkEnd w:id="20"/>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kern w:val="0"/>
        </w:rPr>
        <w:t>．</w:t>
      </w:r>
      <w:r>
        <w:rPr>
          <w:rFonts w:hint="default" w:ascii="Times New Roman" w:hAnsi="Times New Roman" w:cs="Times New Roman"/>
        </w:rPr>
        <w:t>药品批准证明文件已失效的，相关品种的补充申请不予受理。</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kern w:val="0"/>
        </w:rPr>
        <w:t>．</w:t>
      </w:r>
      <w:r>
        <w:rPr>
          <w:rFonts w:hint="default" w:ascii="Times New Roman" w:hAnsi="Times New Roman" w:cs="Times New Roman"/>
        </w:rPr>
        <w:t>再注册申请尚未完成审批程序前申报补充申请的，申请人应当在药品补充申请表中列明相关再注册申请情况，同时提交相关再注册申请的受理通知单复印件。</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kern w:val="0"/>
        </w:rPr>
        <w:t>3．</w:t>
      </w:r>
      <w:r>
        <w:rPr>
          <w:rFonts w:hint="default" w:ascii="Times New Roman" w:hAnsi="Times New Roman" w:cs="Times New Roman"/>
        </w:rPr>
        <w:t>关于取消证明事项的公告中规定的“改为内部核查”的证明事项，按公告要求执行。</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kern w:val="0"/>
        </w:rPr>
        <w:t>4．</w:t>
      </w:r>
      <w:r>
        <w:rPr>
          <w:rFonts w:hint="default" w:ascii="Times New Roman" w:hAnsi="Times New Roman" w:cs="Times New Roman"/>
        </w:rPr>
        <w:t>境外生产的药品所提交的境外药品管理机构出具的证明文件（包括允许药品上市销售证明文件、符合药品生产质量管理规范证明文件以及允许药品变更证明文件等），为符合世界卫生组织推荐的统一格式原件的，可不经所在国公证机构公证及驻所在国中国使领馆认证。</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kern w:val="0"/>
        </w:rPr>
        <w:t>5．</w:t>
      </w:r>
      <w:r>
        <w:rPr>
          <w:rFonts w:hint="default" w:ascii="Times New Roman" w:hAnsi="Times New Roman" w:cs="Times New Roman"/>
        </w:rPr>
        <w:t>符合国务院规定的小微企业，已按规定免收临床试验注册费的创新药，在临床试验期间提出的补充申请时，按要求提交《小型微型企业收费优惠申请表》及小微企业申报资料的，免收注册费。</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6</w:t>
      </w:r>
      <w:r>
        <w:rPr>
          <w:rFonts w:hint="default" w:ascii="Times New Roman" w:hAnsi="Times New Roman" w:cs="Times New Roman"/>
          <w:kern w:val="0"/>
        </w:rPr>
        <w:t>．</w:t>
      </w:r>
      <w:r>
        <w:rPr>
          <w:rFonts w:hint="default" w:ascii="Times New Roman" w:hAnsi="Times New Roman" w:cs="Times New Roman"/>
        </w:rPr>
        <w:t>申请人应当在三十日内完成补正资料，申请人无正当理由逾期不予补正的，视为放弃申请。</w:t>
      </w:r>
    </w:p>
    <w:p>
      <w:pPr>
        <w:pStyle w:val="2"/>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21" w:name="_Toc498516305"/>
      <w:bookmarkStart w:id="22" w:name="_Toc38271412"/>
      <w:r>
        <w:rPr>
          <w:rFonts w:hint="default" w:ascii="Times New Roman" w:hAnsi="Times New Roman" w:cs="Times New Roman"/>
        </w:rPr>
        <w:t>五、受理审查决定</w:t>
      </w:r>
      <w:bookmarkEnd w:id="21"/>
      <w:bookmarkEnd w:id="22"/>
    </w:p>
    <w:p>
      <w:pPr>
        <w:pStyle w:val="3"/>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23" w:name="_Toc38271413"/>
      <w:bookmarkStart w:id="24" w:name="_Toc498516306"/>
      <w:r>
        <w:rPr>
          <w:rFonts w:hint="default" w:ascii="Times New Roman" w:hAnsi="Times New Roman" w:cs="Times New Roman"/>
        </w:rPr>
        <w:t>（一）受理</w:t>
      </w:r>
      <w:bookmarkEnd w:id="23"/>
      <w:bookmarkEnd w:id="24"/>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kern w:val="0"/>
        </w:rPr>
        <w:t>．</w:t>
      </w:r>
      <w:r>
        <w:rPr>
          <w:rFonts w:hint="default" w:ascii="Times New Roman" w:hAnsi="Times New Roman" w:cs="Times New Roman"/>
        </w:rPr>
        <w:t>受理通知单：符合形式审查要求的，出具《受理通知书》一式两份，一份给申请人，一份存入资料。</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kern w:val="0"/>
        </w:rPr>
        <w:t>．</w:t>
      </w:r>
      <w:r>
        <w:rPr>
          <w:rFonts w:hint="default" w:ascii="Times New Roman" w:hAnsi="Times New Roman" w:cs="Times New Roman"/>
        </w:rPr>
        <w:t>缴费通知书：需要缴费，备案事项不需要缴费。</w:t>
      </w:r>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依照《关于发布药品、医疗器械产品注册收费标准的公告》（2015年第53号）及《化学药品注册分类改革工作方案》政策解读（五）等文件要求缴费。</w:t>
      </w:r>
    </w:p>
    <w:p>
      <w:pPr>
        <w:pStyle w:val="3"/>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25" w:name="_Toc38271414"/>
      <w:bookmarkStart w:id="26" w:name="_Toc498516307"/>
      <w:r>
        <w:rPr>
          <w:rFonts w:hint="default" w:ascii="Times New Roman" w:hAnsi="Times New Roman" w:cs="Times New Roman"/>
        </w:rPr>
        <w:t>（二）补正</w:t>
      </w:r>
      <w:bookmarkEnd w:id="25"/>
      <w:bookmarkEnd w:id="26"/>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申报资料不齐全或者不符合法定形式的，应一次告知申请人需要补正的全部内容，出具《补正通知书》。</w:t>
      </w:r>
    </w:p>
    <w:p>
      <w:pPr>
        <w:pStyle w:val="3"/>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bookmarkStart w:id="27" w:name="_Toc38271415"/>
      <w:bookmarkStart w:id="28" w:name="_Toc498516308"/>
      <w:r>
        <w:rPr>
          <w:rFonts w:hint="default" w:ascii="Times New Roman" w:hAnsi="Times New Roman" w:cs="Times New Roman"/>
        </w:rPr>
        <w:t>（三）不予受理</w:t>
      </w:r>
      <w:bookmarkEnd w:id="27"/>
      <w:bookmarkEnd w:id="28"/>
    </w:p>
    <w:p>
      <w:pPr>
        <w:pageBreakBefore w:val="0"/>
        <w:kinsoku/>
        <w:wordWrap/>
        <w:topLinePunct w:val="0"/>
        <w:autoSpaceDE/>
        <w:autoSpaceDN/>
        <w:bidi w:val="0"/>
        <w:adjustRightInd/>
        <w:spacing w:line="560" w:lineRule="exact"/>
        <w:ind w:firstLine="640" w:firstLineChars="200"/>
        <w:jc w:val="both"/>
        <w:textAlignment w:val="auto"/>
        <w:rPr>
          <w:rFonts w:hint="default" w:ascii="Times New Roman" w:hAnsi="Times New Roman" w:cs="Times New Roman"/>
        </w:rPr>
      </w:pPr>
      <w:r>
        <w:rPr>
          <w:rFonts w:hint="default" w:ascii="Times New Roman" w:hAnsi="Times New Roman" w:cs="Times New Roman"/>
        </w:rPr>
        <w:t>不符合要求的，出具《不予受理通知书》，并说明理由。</w:t>
      </w:r>
    </w:p>
    <w:p>
      <w:pPr>
        <w:pStyle w:val="3"/>
        <w:pageBreakBefore w:val="0"/>
        <w:kinsoku/>
        <w:wordWrap/>
        <w:topLinePunct w:val="0"/>
        <w:autoSpaceDE/>
        <w:autoSpaceDN/>
        <w:bidi w:val="0"/>
        <w:adjustRightInd/>
        <w:spacing w:line="560" w:lineRule="exact"/>
        <w:ind w:firstLine="640" w:firstLineChars="200"/>
        <w:jc w:val="both"/>
        <w:textAlignment w:val="auto"/>
      </w:pPr>
      <w:bookmarkStart w:id="29" w:name="_Toc38271416"/>
      <w:r>
        <w:rPr>
          <w:rFonts w:hint="default" w:ascii="Times New Roman" w:hAnsi="Times New Roman" w:cs="Times New Roman"/>
        </w:rPr>
        <w:t>（四）受理流程图</w:t>
      </w:r>
      <w:bookmarkEnd w:id="29"/>
      <w:r>
        <mc:AlternateContent>
          <mc:Choice Requires="wpg">
            <w:drawing>
              <wp:anchor distT="0" distB="0" distL="114300" distR="114300" simplePos="0" relativeHeight="251662336" behindDoc="0" locked="0" layoutInCell="1" allowOverlap="1">
                <wp:simplePos x="0" y="0"/>
                <wp:positionH relativeFrom="column">
                  <wp:posOffset>5080</wp:posOffset>
                </wp:positionH>
                <wp:positionV relativeFrom="paragraph">
                  <wp:posOffset>393065</wp:posOffset>
                </wp:positionV>
                <wp:extent cx="5504180" cy="5114290"/>
                <wp:effectExtent l="19050" t="0" r="20320" b="10160"/>
                <wp:wrapNone/>
                <wp:docPr id="1" name="组合 1"/>
                <wp:cNvGraphicFramePr/>
                <a:graphic xmlns:a="http://schemas.openxmlformats.org/drawingml/2006/main">
                  <a:graphicData uri="http://schemas.microsoft.com/office/word/2010/wordprocessingGroup">
                    <wpg:wgp>
                      <wpg:cNvGrpSpPr/>
                      <wpg:grpSpPr>
                        <a:xfrm>
                          <a:off x="0" y="0"/>
                          <a:ext cx="5504180" cy="5114290"/>
                          <a:chOff x="0" y="0"/>
                          <a:chExt cx="49968" cy="46064"/>
                        </a:xfrm>
                      </wpg:grpSpPr>
                      <wps:wsp>
                        <wps:cNvPr id="2" name="矩形 1"/>
                        <wps:cNvSpPr>
                          <a:spLocks noChangeArrowheads="1"/>
                        </wps:cNvSpPr>
                        <wps:spPr bwMode="auto">
                          <a:xfrm>
                            <a:off x="6060" y="0"/>
                            <a:ext cx="12954" cy="5143"/>
                          </a:xfrm>
                          <a:prstGeom prst="rect">
                            <a:avLst/>
                          </a:prstGeom>
                          <a:solidFill>
                            <a:srgbClr val="FFFFFF"/>
                          </a:solidFill>
                          <a:ln w="6350">
                            <a:solidFill>
                              <a:srgbClr val="000000"/>
                            </a:solidFill>
                            <a:miter lim="800000"/>
                          </a:ln>
                        </wps:spPr>
                        <wps:txbx>
                          <w:txbxContent>
                            <w:p>
                              <w:pPr>
                                <w:ind w:firstLine="0" w:firstLineChars="0"/>
                                <w:jc w:val="center"/>
                                <w:rPr>
                                  <w:rFonts w:ascii="仿宋_GB2312"/>
                                  <w:sz w:val="24"/>
                                  <w:szCs w:val="24"/>
                                </w:rPr>
                              </w:pPr>
                              <w:r>
                                <w:rPr>
                                  <w:rFonts w:hint="eastAsia" w:ascii="仿宋_GB2312"/>
                                  <w:sz w:val="24"/>
                                  <w:szCs w:val="24"/>
                                </w:rPr>
                                <w:t>资料申报</w:t>
                              </w:r>
                            </w:p>
                          </w:txbxContent>
                        </wps:txbx>
                        <wps:bodyPr rot="0" vert="horz" wrap="square" lIns="91440" tIns="45720" rIns="91440" bIns="45720" anchor="ctr" anchorCtr="0" upright="1">
                          <a:noAutofit/>
                        </wps:bodyPr>
                      </wps:wsp>
                      <wps:wsp>
                        <wps:cNvPr id="3" name="流程图: 决策 3"/>
                        <wps:cNvSpPr>
                          <a:spLocks noChangeArrowheads="1"/>
                        </wps:cNvSpPr>
                        <wps:spPr bwMode="auto">
                          <a:xfrm>
                            <a:off x="0" y="8824"/>
                            <a:ext cx="25336" cy="10737"/>
                          </a:xfrm>
                          <a:prstGeom prst="flowChartDecision">
                            <a:avLst/>
                          </a:prstGeom>
                          <a:solidFill>
                            <a:srgbClr val="FFFFFF"/>
                          </a:solidFill>
                          <a:ln w="6350">
                            <a:solidFill>
                              <a:srgbClr val="000000"/>
                            </a:solidFill>
                            <a:miter lim="800000"/>
                          </a:ln>
                        </wps:spPr>
                        <wps:txbx>
                          <w:txbxContent>
                            <w:p>
                              <w:pPr>
                                <w:spacing w:line="260" w:lineRule="exact"/>
                                <w:ind w:firstLine="0" w:firstLineChars="0"/>
                                <w:jc w:val="center"/>
                                <w:rPr>
                                  <w:rFonts w:ascii="仿宋_GB2312"/>
                                  <w:sz w:val="24"/>
                                  <w:szCs w:val="24"/>
                                </w:rPr>
                              </w:pPr>
                              <w:r>
                                <w:rPr>
                                  <w:rFonts w:hint="eastAsia" w:ascii="仿宋_GB2312"/>
                                  <w:sz w:val="24"/>
                                  <w:szCs w:val="24"/>
                                </w:rPr>
                                <w:t>国家局药审中心</w:t>
                              </w:r>
                              <w:r>
                                <w:rPr>
                                  <w:rFonts w:hint="eastAsia" w:ascii="仿宋_GB2312"/>
                                  <w:snapToGrid w:val="0"/>
                                  <w:sz w:val="24"/>
                                  <w:szCs w:val="24"/>
                                </w:rPr>
                                <w:t>签收资料并进行形式审查</w:t>
                              </w:r>
                            </w:p>
                          </w:txbxContent>
                        </wps:txbx>
                        <wps:bodyPr rot="0" vert="horz" wrap="square" lIns="91440" tIns="45720" rIns="91440" bIns="45720" anchor="ctr" anchorCtr="0" upright="1">
                          <a:noAutofit/>
                        </wps:bodyPr>
                      </wps:wsp>
                      <wps:wsp>
                        <wps:cNvPr id="4" name="直接箭头连接符 5"/>
                        <wps:cNvCnPr>
                          <a:cxnSpLocks noChangeShapeType="1"/>
                        </wps:cNvCnPr>
                        <wps:spPr bwMode="auto">
                          <a:xfrm flipH="1">
                            <a:off x="12652" y="5209"/>
                            <a:ext cx="0" cy="3810"/>
                          </a:xfrm>
                          <a:prstGeom prst="straightConnector1">
                            <a:avLst/>
                          </a:prstGeom>
                          <a:noFill/>
                          <a:ln w="19050">
                            <a:solidFill>
                              <a:srgbClr val="000000"/>
                            </a:solidFill>
                            <a:round/>
                            <a:tailEnd type="arrow" w="med" len="med"/>
                          </a:ln>
                        </wps:spPr>
                        <wps:bodyPr/>
                      </wps:wsp>
                      <wps:wsp>
                        <wps:cNvPr id="5" name="矩形 7"/>
                        <wps:cNvSpPr>
                          <a:spLocks noChangeArrowheads="1"/>
                        </wps:cNvSpPr>
                        <wps:spPr bwMode="auto">
                          <a:xfrm>
                            <a:off x="12759" y="19563"/>
                            <a:ext cx="9525" cy="2763"/>
                          </a:xfrm>
                          <a:prstGeom prst="rect">
                            <a:avLst/>
                          </a:prstGeom>
                          <a:solidFill>
                            <a:srgbClr val="FFFFFF"/>
                          </a:solidFill>
                          <a:ln w="25400">
                            <a:solidFill>
                              <a:srgbClr val="FFFFFF"/>
                            </a:solidFill>
                            <a:miter lim="800000"/>
                          </a:ln>
                        </wps:spPr>
                        <wps:txbx>
                          <w:txbxContent>
                            <w:p>
                              <w:pPr>
                                <w:ind w:firstLine="0" w:firstLineChars="0"/>
                                <w:jc w:val="center"/>
                                <w:rPr>
                                  <w:rFonts w:ascii="仿宋_GB2312"/>
                                  <w:sz w:val="24"/>
                                  <w:szCs w:val="24"/>
                                </w:rPr>
                              </w:pPr>
                              <w:r>
                                <w:rPr>
                                  <w:rFonts w:hint="eastAsia" w:ascii="仿宋_GB2312"/>
                                  <w:sz w:val="24"/>
                                  <w:szCs w:val="24"/>
                                </w:rPr>
                                <w:t>符合要求</w:t>
                              </w:r>
                            </w:p>
                          </w:txbxContent>
                        </wps:txbx>
                        <wps:bodyPr rot="0" vert="horz" wrap="square" lIns="91440" tIns="45720" rIns="91440" bIns="45720" anchor="ctr" anchorCtr="0" upright="1">
                          <a:noAutofit/>
                        </wps:bodyPr>
                      </wps:wsp>
                      <wps:wsp>
                        <wps:cNvPr id="6" name="矩形 8"/>
                        <wps:cNvSpPr>
                          <a:spLocks noChangeArrowheads="1"/>
                        </wps:cNvSpPr>
                        <wps:spPr bwMode="auto">
                          <a:xfrm>
                            <a:off x="3508" y="24561"/>
                            <a:ext cx="18574" cy="8655"/>
                          </a:xfrm>
                          <a:prstGeom prst="rect">
                            <a:avLst/>
                          </a:prstGeom>
                          <a:solidFill>
                            <a:srgbClr val="FFFFFF"/>
                          </a:solidFill>
                          <a:ln w="6350">
                            <a:solidFill>
                              <a:srgbClr val="000000"/>
                            </a:solidFill>
                            <a:miter lim="800000"/>
                          </a:ln>
                        </wps:spPr>
                        <wps:txbx>
                          <w:txbxContent>
                            <w:p>
                              <w:pPr>
                                <w:ind w:firstLine="0" w:firstLineChars="0"/>
                                <w:jc w:val="center"/>
                                <w:rPr>
                                  <w:rFonts w:ascii="仿宋_GB2312"/>
                                  <w:sz w:val="24"/>
                                  <w:szCs w:val="24"/>
                                </w:rPr>
                              </w:pPr>
                              <w:r>
                                <w:rPr>
                                  <w:rFonts w:hint="eastAsia" w:ascii="仿宋_GB2312"/>
                                  <w:sz w:val="24"/>
                                  <w:szCs w:val="24"/>
                                </w:rPr>
                                <w:t>国家局药审中心出具《受理通知书》、《缴费通知书》</w:t>
                              </w:r>
                            </w:p>
                          </w:txbxContent>
                        </wps:txbx>
                        <wps:bodyPr rot="0" vert="horz" wrap="square" lIns="91440" tIns="45720" rIns="91440" bIns="45720" anchor="ctr" anchorCtr="0" upright="1">
                          <a:noAutofit/>
                        </wps:bodyPr>
                      </wps:wsp>
                      <wps:wsp>
                        <wps:cNvPr id="7" name="直接箭头连接符 9"/>
                        <wps:cNvCnPr>
                          <a:cxnSpLocks noChangeShapeType="1"/>
                        </wps:cNvCnPr>
                        <wps:spPr bwMode="auto">
                          <a:xfrm flipH="1">
                            <a:off x="12759" y="33386"/>
                            <a:ext cx="0" cy="5905"/>
                          </a:xfrm>
                          <a:prstGeom prst="straightConnector1">
                            <a:avLst/>
                          </a:prstGeom>
                          <a:noFill/>
                          <a:ln w="19050">
                            <a:solidFill>
                              <a:srgbClr val="000000"/>
                            </a:solidFill>
                            <a:round/>
                            <a:tailEnd type="arrow" w="med" len="med"/>
                          </a:ln>
                        </wps:spPr>
                        <wps:bodyPr/>
                      </wps:wsp>
                      <wps:wsp>
                        <wps:cNvPr id="9" name="直接箭头连接符 11"/>
                        <wps:cNvCnPr>
                          <a:cxnSpLocks noChangeShapeType="1"/>
                        </wps:cNvCnPr>
                        <wps:spPr bwMode="auto">
                          <a:xfrm>
                            <a:off x="25305" y="13822"/>
                            <a:ext cx="9906" cy="0"/>
                          </a:xfrm>
                          <a:prstGeom prst="straightConnector1">
                            <a:avLst/>
                          </a:prstGeom>
                          <a:noFill/>
                          <a:ln w="19050">
                            <a:solidFill>
                              <a:srgbClr val="000000"/>
                            </a:solidFill>
                            <a:round/>
                            <a:tailEnd type="arrow" w="med" len="med"/>
                          </a:ln>
                        </wps:spPr>
                        <wps:bodyPr/>
                      </wps:wsp>
                      <wps:wsp>
                        <wps:cNvPr id="10" name="矩形 12"/>
                        <wps:cNvSpPr>
                          <a:spLocks noChangeArrowheads="1"/>
                        </wps:cNvSpPr>
                        <wps:spPr bwMode="auto">
                          <a:xfrm>
                            <a:off x="25305" y="8921"/>
                            <a:ext cx="9906" cy="3910"/>
                          </a:xfrm>
                          <a:prstGeom prst="rect">
                            <a:avLst/>
                          </a:prstGeom>
                          <a:solidFill>
                            <a:srgbClr val="FFFFFF"/>
                          </a:solidFill>
                          <a:ln w="25400">
                            <a:solidFill>
                              <a:srgbClr val="FFFFFF"/>
                            </a:solidFill>
                            <a:miter lim="800000"/>
                          </a:ln>
                        </wps:spPr>
                        <wps:txbx>
                          <w:txbxContent>
                            <w:p>
                              <w:pPr>
                                <w:ind w:firstLine="0" w:firstLineChars="0"/>
                                <w:jc w:val="center"/>
                                <w:rPr>
                                  <w:rFonts w:ascii="仿宋_GB2312"/>
                                  <w:sz w:val="24"/>
                                  <w:szCs w:val="24"/>
                                </w:rPr>
                              </w:pPr>
                              <w:r>
                                <w:rPr>
                                  <w:rFonts w:hint="eastAsia" w:ascii="仿宋_GB2312"/>
                                  <w:sz w:val="24"/>
                                  <w:szCs w:val="24"/>
                                </w:rPr>
                                <w:t>不符合要求</w:t>
                              </w:r>
                            </w:p>
                          </w:txbxContent>
                        </wps:txbx>
                        <wps:bodyPr rot="0" vert="horz" wrap="square" lIns="91440" tIns="45720" rIns="91440" bIns="45720" anchor="ctr" anchorCtr="0" upright="1">
                          <a:noAutofit/>
                        </wps:bodyPr>
                      </wps:wsp>
                      <wps:wsp>
                        <wps:cNvPr id="11" name="矩形 13"/>
                        <wps:cNvSpPr>
                          <a:spLocks noChangeArrowheads="1"/>
                        </wps:cNvSpPr>
                        <wps:spPr bwMode="auto">
                          <a:xfrm>
                            <a:off x="35300" y="9675"/>
                            <a:ext cx="14668" cy="8573"/>
                          </a:xfrm>
                          <a:prstGeom prst="rect">
                            <a:avLst/>
                          </a:prstGeom>
                          <a:solidFill>
                            <a:srgbClr val="FFFFFF"/>
                          </a:solidFill>
                          <a:ln w="6350">
                            <a:solidFill>
                              <a:srgbClr val="000000"/>
                            </a:solidFill>
                            <a:miter lim="800000"/>
                          </a:ln>
                        </wps:spPr>
                        <wps:txbx>
                          <w:txbxContent>
                            <w:p>
                              <w:pPr>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wps:txbx>
                        <wps:bodyPr rot="0" vert="horz" wrap="square" lIns="91440" tIns="45720" rIns="91440" bIns="45720" anchor="ctr" anchorCtr="0" upright="1">
                          <a:noAutofit/>
                        </wps:bodyPr>
                      </wps:wsp>
                      <wps:wsp>
                        <wps:cNvPr id="12" name="流程图: 可选过程 14"/>
                        <wps:cNvSpPr>
                          <a:spLocks noChangeArrowheads="1"/>
                        </wps:cNvSpPr>
                        <wps:spPr bwMode="auto">
                          <a:xfrm>
                            <a:off x="5209" y="39234"/>
                            <a:ext cx="15050" cy="6830"/>
                          </a:xfrm>
                          <a:prstGeom prst="flowChartAlternateProcess">
                            <a:avLst/>
                          </a:prstGeom>
                          <a:solidFill>
                            <a:srgbClr val="FFFFFF"/>
                          </a:solidFill>
                          <a:ln w="6350">
                            <a:solidFill>
                              <a:srgbClr val="000000"/>
                            </a:solidFill>
                            <a:miter lim="800000"/>
                          </a:ln>
                        </wps:spPr>
                        <wps:txbx>
                          <w:txbxContent>
                            <w:p>
                              <w:pPr>
                                <w:ind w:firstLine="0" w:firstLineChars="0"/>
                                <w:jc w:val="center"/>
                                <w:rPr>
                                  <w:rFonts w:ascii="仿宋_GB2312"/>
                                  <w:sz w:val="24"/>
                                  <w:szCs w:val="24"/>
                                </w:rPr>
                              </w:pPr>
                              <w:r>
                                <w:rPr>
                                  <w:rFonts w:hint="eastAsia" w:ascii="仿宋_GB2312"/>
                                  <w:sz w:val="24"/>
                                  <w:szCs w:val="24"/>
                                </w:rPr>
                                <w:t>国家局药审中心技术</w:t>
                              </w:r>
                              <w:r>
                                <w:rPr>
                                  <w:rFonts w:ascii="仿宋_GB2312"/>
                                  <w:sz w:val="24"/>
                                  <w:szCs w:val="24"/>
                                </w:rPr>
                                <w:t>审评审批及备案</w:t>
                              </w:r>
                            </w:p>
                          </w:txbxContent>
                        </wps:txbx>
                        <wps:bodyPr rot="0" vert="horz" wrap="square" lIns="91440" tIns="45720" rIns="91440" bIns="45720" anchor="ctr" anchorCtr="0" upright="1">
                          <a:noAutofit/>
                        </wps:bodyPr>
                      </wps:wsp>
                      <wps:wsp>
                        <wps:cNvPr id="13" name="直接箭头连接符 9"/>
                        <wps:cNvCnPr/>
                        <wps:spPr bwMode="auto">
                          <a:xfrm>
                            <a:off x="12759" y="19561"/>
                            <a:ext cx="0" cy="5054"/>
                          </a:xfrm>
                          <a:prstGeom prst="straightConnector1">
                            <a:avLst/>
                          </a:prstGeom>
                          <a:noFill/>
                          <a:ln w="19050">
                            <a:solidFill>
                              <a:srgbClr val="000000"/>
                            </a:solidFill>
                            <a:round/>
                            <a:tailEnd type="arrow" w="med" len="med"/>
                          </a:ln>
                        </wps:spPr>
                        <wps:bodyPr/>
                      </wps:wsp>
                    </wpg:wgp>
                  </a:graphicData>
                </a:graphic>
              </wp:anchor>
            </w:drawing>
          </mc:Choice>
          <mc:Fallback>
            <w:pict>
              <v:group id="_x0000_s1026" o:spid="_x0000_s1026" o:spt="203" style="position:absolute;left:0pt;margin-left:0.4pt;margin-top:30.95pt;height:402.7pt;width:433.4pt;z-index:251662336;mso-width-relative:page;mso-height-relative:page;" coordsize="49968,46064" o:gfxdata="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AAAAAZHJzL1BLAQIUABQAAAAIAIdO&#10;4kATRjsO1wAAAAcBAAAPAAAAAAAAAAEAIAAAACIAAABkcnMvZG93bnJldi54bWxQSwECFAAUAAAA&#10;CACHTuJAq3+L/w0FAACJHQAADgAAAAAAAAABACAAAAAmAQAAZHJzL2Uyb0RvYy54bWxQSwUGAAAA&#10;AAYABgBZAQAApQgAAAAA&#10;">
                <o:lock v:ext="edit" aspectratio="f"/>
                <v:rect id="矩形 1" o:spid="_x0000_s1026" o:spt="1" style="position:absolute;left:6060;top:0;height:5143;width:12954;v-text-anchor:middle;" fillcolor="#FFFFFF" filled="t" stroked="t" coordsize="21600,21600" o:gfxdata="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SOL7rsAAADa&#10;AAAADwAAAAAAAAABACAAAAAiAAAAZHJzL2Rvd25yZXYueG1sUEsBAhQAFAAAAAgAh07iQDMvBZ47&#10;AAAAOQAAABAAAAAAAAAAAQAgAAAACgEAAGRycy9zaGFwZXhtbC54bWxQSwUGAAAAAAYABgBbAQAA&#10;tAMAAAAA&#10;">
                  <v:fill on="t" focussize="0,0"/>
                  <v:stroke weight="0.5pt" color="#000000" miterlimit="8" joinstyle="miter"/>
                  <v:imagedata o:title=""/>
                  <o:lock v:ext="edit" aspectratio="f"/>
                  <v:textbox>
                    <w:txbxContent>
                      <w:p>
                        <w:pPr>
                          <w:ind w:firstLine="0" w:firstLineChars="0"/>
                          <w:jc w:val="center"/>
                          <w:rPr>
                            <w:rFonts w:ascii="仿宋_GB2312"/>
                            <w:sz w:val="24"/>
                            <w:szCs w:val="24"/>
                          </w:rPr>
                        </w:pPr>
                        <w:r>
                          <w:rPr>
                            <w:rFonts w:hint="eastAsia" w:ascii="仿宋_GB2312"/>
                            <w:sz w:val="24"/>
                            <w:szCs w:val="24"/>
                          </w:rPr>
                          <w:t>资料申报</w:t>
                        </w:r>
                      </w:p>
                    </w:txbxContent>
                  </v:textbox>
                </v:rect>
                <v:shape id="_x0000_s1026" o:spid="_x0000_s1026" o:spt="110" type="#_x0000_t110" style="position:absolute;left:0;top:8824;height:10737;width:25336;v-text-anchor:middle;" fillcolor="#FFFFFF" filled="t" stroked="t" coordsize="21600,21600" o:gfxdata="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Lw07vQAA&#10;ANoAAAAPAAAAAAAAAAEAIAAAACIAAABkcnMvZG93bnJldi54bWxQSwECFAAUAAAACACHTuJAMy8F&#10;njsAAAA5AAAAEAAAAAAAAAABACAAAAAMAQAAZHJzL3NoYXBleG1sLnhtbFBLBQYAAAAABgAGAFsB&#10;AAC2AwAAAAA=&#10;">
                  <v:fill on="t" focussize="0,0"/>
                  <v:stroke weight="0.5pt" color="#000000" miterlimit="8" joinstyle="miter"/>
                  <v:imagedata o:title=""/>
                  <o:lock v:ext="edit" aspectratio="f"/>
                  <v:textbox>
                    <w:txbxContent>
                      <w:p>
                        <w:pPr>
                          <w:spacing w:line="260" w:lineRule="exact"/>
                          <w:ind w:firstLine="0" w:firstLineChars="0"/>
                          <w:jc w:val="center"/>
                          <w:rPr>
                            <w:rFonts w:ascii="仿宋_GB2312"/>
                            <w:sz w:val="24"/>
                            <w:szCs w:val="24"/>
                          </w:rPr>
                        </w:pPr>
                        <w:r>
                          <w:rPr>
                            <w:rFonts w:hint="eastAsia" w:ascii="仿宋_GB2312"/>
                            <w:sz w:val="24"/>
                            <w:szCs w:val="24"/>
                          </w:rPr>
                          <w:t>国家局药审中心</w:t>
                        </w:r>
                        <w:r>
                          <w:rPr>
                            <w:rFonts w:hint="eastAsia" w:ascii="仿宋_GB2312"/>
                            <w:snapToGrid w:val="0"/>
                            <w:sz w:val="24"/>
                            <w:szCs w:val="24"/>
                          </w:rPr>
                          <w:t>签收资料并进行形式审查</w:t>
                        </w:r>
                      </w:p>
                    </w:txbxContent>
                  </v:textbox>
                </v:shape>
                <v:shape id="直接箭头连接符 5" o:spid="_x0000_s1026" o:spt="32" type="#_x0000_t32" style="position:absolute;left:12652;top:5209;flip:x;height:3810;width:0;" filled="f" stroked="t" coordsize="21600,21600" o:gfxdata="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WA2EO8AAAA&#10;2g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shape>
                <v:rect id="矩形 7" o:spid="_x0000_s1026" o:spt="1" style="position:absolute;left:12759;top:19563;height:2763;width:9525;v-text-anchor:middle;" fillcolor="#FFFFFF" filled="t" stroked="t" coordsize="21600,21600" o:gfxdata="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WwPpe8AAAA&#10;2gAAAA8AAAAAAAAAAQAgAAAAIgAAAGRycy9kb3ducmV2LnhtbFBLAQIUABQAAAAIAIdO4kAzLwWe&#10;OwAAADkAAAAQAAAAAAAAAAEAIAAAAAsBAABkcnMvc2hhcGV4bWwueG1sUEsFBgAAAAAGAAYAWwEA&#10;ALUDAAAAAA==&#10;">
                  <v:fill on="t" focussize="0,0"/>
                  <v:stroke weight="2pt" color="#FFFFFF" miterlimit="8" joinstyle="miter"/>
                  <v:imagedata o:title=""/>
                  <o:lock v:ext="edit" aspectratio="f"/>
                  <v:textbox>
                    <w:txbxContent>
                      <w:p>
                        <w:pPr>
                          <w:ind w:firstLine="0" w:firstLineChars="0"/>
                          <w:jc w:val="center"/>
                          <w:rPr>
                            <w:rFonts w:ascii="仿宋_GB2312"/>
                            <w:sz w:val="24"/>
                            <w:szCs w:val="24"/>
                          </w:rPr>
                        </w:pPr>
                        <w:r>
                          <w:rPr>
                            <w:rFonts w:hint="eastAsia" w:ascii="仿宋_GB2312"/>
                            <w:sz w:val="24"/>
                            <w:szCs w:val="24"/>
                          </w:rPr>
                          <w:t>符合要求</w:t>
                        </w:r>
                      </w:p>
                    </w:txbxContent>
                  </v:textbox>
                </v:rect>
                <v:rect id="矩形 8" o:spid="_x0000_s1026" o:spt="1" style="position:absolute;left:3508;top:24561;height:8655;width:18574;v-text-anchor:middle;" fillcolor="#FFFFFF" filled="t" stroked="t" coordsize="21600,21600" o:gfxdata="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GI3tvQAA&#10;ANoAAAAPAAAAAAAAAAEAIAAAACIAAABkcnMvZG93bnJldi54bWxQSwECFAAUAAAACACHTuJAMy8F&#10;njsAAAA5AAAAEAAAAAAAAAABACAAAAAMAQAAZHJzL3NoYXBleG1sLnhtbFBLBQYAAAAABgAGAFsB&#10;AAC2AwAAAAA=&#10;">
                  <v:fill on="t" focussize="0,0"/>
                  <v:stroke weight="0.5pt" color="#000000" miterlimit="8" joinstyle="miter"/>
                  <v:imagedata o:title=""/>
                  <o:lock v:ext="edit" aspectratio="f"/>
                  <v:textbox>
                    <w:txbxContent>
                      <w:p>
                        <w:pPr>
                          <w:ind w:firstLine="0" w:firstLineChars="0"/>
                          <w:jc w:val="center"/>
                          <w:rPr>
                            <w:rFonts w:ascii="仿宋_GB2312"/>
                            <w:sz w:val="24"/>
                            <w:szCs w:val="24"/>
                          </w:rPr>
                        </w:pPr>
                        <w:r>
                          <w:rPr>
                            <w:rFonts w:hint="eastAsia" w:ascii="仿宋_GB2312"/>
                            <w:sz w:val="24"/>
                            <w:szCs w:val="24"/>
                          </w:rPr>
                          <w:t>国家局药审中心出具《受理通知书》、《缴费通知书》</w:t>
                        </w:r>
                      </w:p>
                    </w:txbxContent>
                  </v:textbox>
                </v:rect>
                <v:shape id="直接箭头连接符 9" o:spid="_x0000_s1026" o:spt="32" type="#_x0000_t32" style="position:absolute;left:12759;top:33386;flip:x;height:5905;width:0;" filled="f" stroked="t" coordsize="21600,21600" o:gfxdata="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VSRjS8AAAA&#10;2g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shape>
                <v:shape id="直接箭头连接符 11" o:spid="_x0000_s1026" o:spt="32" type="#_x0000_t32" style="position:absolute;left:25305;top:13822;height:0;width:9906;" filled="f" stroked="t" coordsize="21600,21600" o:gfxdata="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0y0GvQAA&#10;ANoAAAAPAAAAAAAAAAEAIAAAACIAAABkcnMvZG93bnJldi54bWxQSwECFAAUAAAACACHTuJAMy8F&#10;njsAAAA5AAAAEAAAAAAAAAABACAAAAAMAQAAZHJzL3NoYXBleG1sLnhtbFBLBQYAAAAABgAGAFsB&#10;AAC2AwAAAAA=&#10;">
                  <v:fill on="f" focussize="0,0"/>
                  <v:stroke weight="1.5pt" color="#000000" joinstyle="round" endarrow="open"/>
                  <v:imagedata o:title=""/>
                  <o:lock v:ext="edit" aspectratio="f"/>
                </v:shape>
                <v:rect id="矩形 12" o:spid="_x0000_s1026" o:spt="1" style="position:absolute;left:25305;top:8921;height:3910;width:9906;v-text-anchor:middle;" fillcolor="#FFFFFF" filled="t" stroked="t" coordsize="21600,21600" o:gfxdata="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mkUWb4A&#10;AADbAAAADwAAAAAAAAABACAAAAAiAAAAZHJzL2Rvd25yZXYueG1sUEsBAhQAFAAAAAgAh07iQDMv&#10;BZ47AAAAOQAAABAAAAAAAAAAAQAgAAAADQEAAGRycy9zaGFwZXhtbC54bWxQSwUGAAAAAAYABgBb&#10;AQAAtwMAAAAA&#10;">
                  <v:fill on="t" focussize="0,0"/>
                  <v:stroke weight="2pt" color="#FFFFFF" miterlimit="8" joinstyle="miter"/>
                  <v:imagedata o:title=""/>
                  <o:lock v:ext="edit" aspectratio="f"/>
                  <v:textbox>
                    <w:txbxContent>
                      <w:p>
                        <w:pPr>
                          <w:ind w:firstLine="0" w:firstLineChars="0"/>
                          <w:jc w:val="center"/>
                          <w:rPr>
                            <w:rFonts w:ascii="仿宋_GB2312"/>
                            <w:sz w:val="24"/>
                            <w:szCs w:val="24"/>
                          </w:rPr>
                        </w:pPr>
                        <w:r>
                          <w:rPr>
                            <w:rFonts w:hint="eastAsia" w:ascii="仿宋_GB2312"/>
                            <w:sz w:val="24"/>
                            <w:szCs w:val="24"/>
                          </w:rPr>
                          <w:t>不符合要求</w:t>
                        </w:r>
                      </w:p>
                    </w:txbxContent>
                  </v:textbox>
                </v:rect>
                <v:rect id="矩形 13" o:spid="_x0000_s1026" o:spt="1" style="position:absolute;left:35300;top:9675;height:8573;width:14668;v-text-anchor:middle;" fillcolor="#FFFFFF" filled="t" stroked="t" coordsize="21600,21600" o:gfxdata="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OzdDLsAAADb&#10;AAAADwAAAAAAAAABACAAAAAiAAAAZHJzL2Rvd25yZXYueG1sUEsBAhQAFAAAAAgAh07iQDMvBZ47&#10;AAAAOQAAABAAAAAAAAAAAQAgAAAACgEAAGRycy9zaGFwZXhtbC54bWxQSwUGAAAAAAYABgBbAQAA&#10;tAMAAAAA&#10;">
                  <v:fill on="t" focussize="0,0"/>
                  <v:stroke weight="0.5pt" color="#000000" miterlimit="8" joinstyle="miter"/>
                  <v:imagedata o:title=""/>
                  <o:lock v:ext="edit" aspectratio="f"/>
                  <v:textbox>
                    <w:txbxContent>
                      <w:p>
                        <w:pPr>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v:textbox>
                </v:rect>
                <v:shape id="流程图: 可选过程 14" o:spid="_x0000_s1026" o:spt="176" type="#_x0000_t176" style="position:absolute;left:5209;top:39234;height:6830;width:15050;v-text-anchor:middle;" fillcolor="#FFFFFF" filled="t" stroked="t" coordsize="21600,21600" o:gfxdata="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zhixu5AAAA2wAA&#10;AA8AAAAAAAAAAQAgAAAAIgAAAGRycy9kb3ducmV2LnhtbFBLAQIUABQAAAAIAIdO4kAzLwWeOwAA&#10;ADkAAAAQAAAAAAAAAAEAIAAAAAgBAABkcnMvc2hhcGV4bWwueG1sUEsFBgAAAAAGAAYAWwEAALID&#10;AAAAAA==&#10;">
                  <v:fill on="t" focussize="0,0"/>
                  <v:stroke weight="0.5pt" color="#000000" miterlimit="8" joinstyle="miter"/>
                  <v:imagedata o:title=""/>
                  <o:lock v:ext="edit" aspectratio="f"/>
                  <v:textbox>
                    <w:txbxContent>
                      <w:p>
                        <w:pPr>
                          <w:ind w:firstLine="0" w:firstLineChars="0"/>
                          <w:jc w:val="center"/>
                          <w:rPr>
                            <w:rFonts w:ascii="仿宋_GB2312"/>
                            <w:sz w:val="24"/>
                            <w:szCs w:val="24"/>
                          </w:rPr>
                        </w:pPr>
                        <w:r>
                          <w:rPr>
                            <w:rFonts w:hint="eastAsia" w:ascii="仿宋_GB2312"/>
                            <w:sz w:val="24"/>
                            <w:szCs w:val="24"/>
                          </w:rPr>
                          <w:t>国家局药审中心技术</w:t>
                        </w:r>
                        <w:r>
                          <w:rPr>
                            <w:rFonts w:ascii="仿宋_GB2312"/>
                            <w:sz w:val="24"/>
                            <w:szCs w:val="24"/>
                          </w:rPr>
                          <w:t>审评审批及备案</w:t>
                        </w:r>
                      </w:p>
                    </w:txbxContent>
                  </v:textbox>
                </v:shape>
                <v:shape id="直接箭头连接符 9" o:spid="_x0000_s1026" o:spt="32" type="#_x0000_t32" style="position:absolute;left:12759;top:19561;height:5054;width:0;" filled="f" stroked="t" coordsize="21600,21600" o:gfxdata="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5Ly86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shape>
              </v:group>
            </w:pict>
          </mc:Fallback>
        </mc:AlternateContent>
      </w:r>
    </w:p>
    <w:p>
      <w:pPr>
        <w:spacing w:line="560" w:lineRule="exact"/>
        <w:ind w:firstLine="640"/>
        <w:rPr>
          <w:color w:val="000000"/>
        </w:rPr>
      </w:pPr>
    </w:p>
    <w:p>
      <w:pPr>
        <w:spacing w:line="560" w:lineRule="exact"/>
        <w:ind w:firstLine="640"/>
        <w:rPr>
          <w:color w:val="000000"/>
        </w:rPr>
      </w:pPr>
    </w:p>
    <w:p>
      <w:pPr>
        <w:spacing w:line="560" w:lineRule="exact"/>
        <w:ind w:firstLine="640"/>
        <w:rPr>
          <w:color w:val="000000"/>
        </w:rPr>
      </w:pPr>
    </w:p>
    <w:p>
      <w:pPr>
        <w:spacing w:line="560" w:lineRule="exact"/>
        <w:ind w:firstLine="640"/>
        <w:rPr>
          <w:color w:val="000000"/>
        </w:rPr>
      </w:pPr>
    </w:p>
    <w:p>
      <w:pPr>
        <w:spacing w:line="560" w:lineRule="exact"/>
        <w:ind w:firstLine="640"/>
        <w:rPr>
          <w:color w:val="000000"/>
        </w:rPr>
      </w:pPr>
    </w:p>
    <w:p>
      <w:pPr>
        <w:spacing w:line="560" w:lineRule="exact"/>
        <w:ind w:firstLine="640"/>
        <w:rPr>
          <w:color w:val="000000"/>
        </w:rPr>
      </w:pPr>
    </w:p>
    <w:p>
      <w:pPr>
        <w:spacing w:line="560" w:lineRule="exact"/>
        <w:ind w:firstLine="640"/>
        <w:rPr>
          <w:color w:val="000000"/>
        </w:rPr>
      </w:pPr>
    </w:p>
    <w:p>
      <w:pPr>
        <w:spacing w:line="560" w:lineRule="exact"/>
        <w:ind w:firstLine="640"/>
        <w:rPr>
          <w:color w:val="000000"/>
        </w:rPr>
      </w:pPr>
    </w:p>
    <w:p>
      <w:pPr>
        <w:spacing w:line="560" w:lineRule="exact"/>
        <w:ind w:firstLine="640"/>
        <w:rPr>
          <w:color w:val="000000"/>
        </w:rPr>
      </w:pPr>
    </w:p>
    <w:p>
      <w:pPr>
        <w:spacing w:line="560" w:lineRule="exact"/>
        <w:ind w:firstLine="640"/>
      </w:pPr>
    </w:p>
    <w:p>
      <w:pPr>
        <w:spacing w:line="560" w:lineRule="exact"/>
        <w:ind w:firstLine="640"/>
      </w:pPr>
    </w:p>
    <w:p>
      <w:pPr>
        <w:spacing w:line="560" w:lineRule="exact"/>
        <w:ind w:firstLine="640"/>
      </w:pPr>
    </w:p>
    <w:p>
      <w:pPr>
        <w:spacing w:line="560" w:lineRule="exact"/>
        <w:ind w:firstLine="640"/>
      </w:pPr>
    </w:p>
    <w:p>
      <w:pPr>
        <w:spacing w:line="560" w:lineRule="exact"/>
        <w:ind w:firstLine="640"/>
      </w:pPr>
    </w:p>
    <w:p>
      <w:pPr>
        <w:spacing w:line="560" w:lineRule="exact"/>
        <w:ind w:firstLine="640"/>
      </w:pPr>
    </w:p>
    <w:p>
      <w:pPr>
        <w:pStyle w:val="2"/>
        <w:pageBreakBefore w:val="0"/>
        <w:widowControl w:val="0"/>
        <w:kinsoku/>
        <w:wordWrap/>
        <w:overflowPunct/>
        <w:topLinePunct w:val="0"/>
        <w:autoSpaceDE/>
        <w:autoSpaceDN/>
        <w:bidi w:val="0"/>
        <w:adjustRightInd/>
        <w:snapToGrid/>
        <w:spacing w:line="560" w:lineRule="exact"/>
        <w:ind w:firstLine="640" w:firstLineChars="200"/>
        <w:textAlignment w:val="auto"/>
      </w:pPr>
      <w:bookmarkStart w:id="30" w:name="_Toc38271417"/>
      <w:bookmarkStart w:id="31" w:name="_Toc498516309"/>
      <w:r>
        <w:rPr>
          <w:rFonts w:hint="eastAsia"/>
        </w:rPr>
        <w:t>六、其他</w:t>
      </w:r>
      <w:bookmarkEnd w:id="30"/>
      <w:bookmarkEnd w:id="31"/>
    </w:p>
    <w:p>
      <w:pPr>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rPr>
        <w:t>其他未尽事宜，请参照《药品注册管理办法》等现行的法律法规、技术指导原则有关文件执行。</w:t>
      </w:r>
    </w:p>
    <w:p>
      <w:pPr>
        <w:pStyle w:val="2"/>
        <w:pageBreakBefore w:val="0"/>
        <w:widowControl w:val="0"/>
        <w:kinsoku/>
        <w:wordWrap/>
        <w:overflowPunct/>
        <w:topLinePunct w:val="0"/>
        <w:autoSpaceDE/>
        <w:autoSpaceDN/>
        <w:bidi w:val="0"/>
        <w:adjustRightInd/>
        <w:snapToGrid/>
        <w:spacing w:line="560" w:lineRule="exact"/>
        <w:ind w:firstLine="640" w:firstLineChars="200"/>
        <w:textAlignment w:val="auto"/>
      </w:pPr>
      <w:bookmarkStart w:id="32" w:name="_Toc38271418"/>
      <w:r>
        <w:rPr>
          <w:rFonts w:hint="eastAsia"/>
        </w:rPr>
        <w:t>七、附件</w:t>
      </w:r>
      <w:bookmarkEnd w:id="32"/>
    </w:p>
    <w:p>
      <w:pPr>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rPr>
        <w:t>1．化学药品变更申报资料自查表</w:t>
      </w:r>
    </w:p>
    <w:p>
      <w:pPr>
        <w:pageBreakBefore w:val="0"/>
        <w:widowControl w:val="0"/>
        <w:kinsoku/>
        <w:wordWrap/>
        <w:overflowPunct/>
        <w:topLinePunct w:val="0"/>
        <w:autoSpaceDE/>
        <w:autoSpaceDN/>
        <w:bidi w:val="0"/>
        <w:adjustRightInd/>
        <w:snapToGrid/>
        <w:spacing w:line="560" w:lineRule="exact"/>
        <w:ind w:firstLine="640" w:firstLineChars="200"/>
        <w:textAlignment w:val="auto"/>
      </w:pPr>
      <w:r>
        <w:t>2</w:t>
      </w:r>
      <w:r>
        <w:rPr>
          <w:rFonts w:hint="eastAsia"/>
        </w:rPr>
        <w:t>．参考目录</w:t>
      </w:r>
    </w:p>
    <w:p>
      <w:pPr>
        <w:pStyle w:val="3"/>
        <w:tabs>
          <w:tab w:val="left" w:pos="420"/>
        </w:tabs>
        <w:spacing w:line="560" w:lineRule="exact"/>
        <w:ind w:firstLine="0" w:firstLineChars="0"/>
        <w:rPr>
          <w:rFonts w:hint="eastAsia" w:ascii="黑体" w:hAnsi="黑体" w:eastAsia="黑体" w:cs="黑体"/>
        </w:rPr>
      </w:pPr>
      <w:r>
        <w:rPr>
          <w:color w:val="000000"/>
        </w:rPr>
        <w:br w:type="page"/>
      </w:r>
      <w:bookmarkStart w:id="33" w:name="_Toc38271419"/>
      <w:r>
        <w:rPr>
          <w:rFonts w:hint="eastAsia" w:ascii="黑体" w:hAnsi="黑体" w:eastAsia="黑体" w:cs="黑体"/>
        </w:rPr>
        <w:t>附件1</w:t>
      </w:r>
      <w:bookmarkEnd w:id="33"/>
      <w:r>
        <w:rPr>
          <w:rFonts w:hint="eastAsia" w:ascii="黑体" w:hAnsi="黑体" w:eastAsia="黑体" w:cs="黑体"/>
        </w:rPr>
        <w:t xml:space="preserve"> </w:t>
      </w:r>
    </w:p>
    <w:p>
      <w:pPr>
        <w:pStyle w:val="3"/>
        <w:keepNext w:val="0"/>
        <w:keepLines w:val="0"/>
        <w:tabs>
          <w:tab w:val="left" w:pos="420"/>
        </w:tabs>
        <w:overflowPunct w:val="0"/>
        <w:adjustRightInd w:val="0"/>
        <w:snapToGrid w:val="0"/>
        <w:spacing w:before="156" w:beforeLines="50" w:after="156" w:afterLines="50" w:line="560" w:lineRule="exact"/>
        <w:ind w:firstLine="0" w:firstLineChars="0"/>
        <w:jc w:val="center"/>
        <w:rPr>
          <w:rFonts w:ascii="方正小标宋简体" w:hAnsi="方正小标宋简体" w:eastAsia="方正小标宋简体" w:cs="方正小标宋简体"/>
          <w:color w:val="000000"/>
          <w:kern w:val="0"/>
          <w:sz w:val="44"/>
          <w:szCs w:val="44"/>
        </w:rPr>
      </w:pPr>
      <w:bookmarkStart w:id="34" w:name="_Toc38271420"/>
      <w:r>
        <w:rPr>
          <w:rFonts w:hint="eastAsia" w:ascii="方正小标宋简体" w:hAnsi="方正小标宋简体" w:eastAsia="方正小标宋简体" w:cs="方正小标宋简体"/>
          <w:color w:val="000000"/>
          <w:kern w:val="0"/>
          <w:sz w:val="44"/>
          <w:szCs w:val="44"/>
        </w:rPr>
        <w:t>化学药品</w:t>
      </w:r>
      <w:r>
        <w:rPr>
          <w:rFonts w:ascii="方正小标宋简体" w:hAnsi="方正小标宋简体" w:eastAsia="方正小标宋简体" w:cs="方正小标宋简体"/>
          <w:color w:val="000000"/>
          <w:kern w:val="0"/>
          <w:sz w:val="44"/>
          <w:szCs w:val="44"/>
        </w:rPr>
        <w:t>变更申报资料</w:t>
      </w:r>
      <w:r>
        <w:rPr>
          <w:rFonts w:hint="eastAsia" w:ascii="方正小标宋简体" w:hAnsi="方正小标宋简体" w:eastAsia="方正小标宋简体" w:cs="方正小标宋简体"/>
          <w:color w:val="000000"/>
          <w:kern w:val="0"/>
          <w:sz w:val="44"/>
          <w:szCs w:val="44"/>
        </w:rPr>
        <w:t>自查表</w:t>
      </w:r>
      <w:bookmarkEnd w:id="34"/>
    </w:p>
    <w:tbl>
      <w:tblPr>
        <w:tblStyle w:val="23"/>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977"/>
        <w:gridCol w:w="1701"/>
        <w:gridCol w:w="1276"/>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63" w:type="dxa"/>
            <w:vAlign w:val="center"/>
          </w:tcPr>
          <w:p>
            <w:pPr>
              <w:overflowPunct w:val="0"/>
              <w:spacing w:line="240" w:lineRule="auto"/>
              <w:ind w:firstLine="0" w:firstLineChars="0"/>
              <w:jc w:val="center"/>
              <w:rPr>
                <w:bCs/>
                <w:sz w:val="24"/>
                <w:szCs w:val="24"/>
              </w:rPr>
            </w:pPr>
            <w:r>
              <w:rPr>
                <w:rFonts w:hint="eastAsia"/>
                <w:bCs/>
                <w:sz w:val="24"/>
                <w:szCs w:val="24"/>
              </w:rPr>
              <w:t>药品名称</w:t>
            </w:r>
          </w:p>
        </w:tc>
        <w:tc>
          <w:tcPr>
            <w:tcW w:w="2977" w:type="dxa"/>
            <w:vAlign w:val="center"/>
          </w:tcPr>
          <w:p>
            <w:pPr>
              <w:overflowPunct w:val="0"/>
              <w:spacing w:line="240" w:lineRule="auto"/>
              <w:ind w:firstLine="0" w:firstLineChars="0"/>
              <w:jc w:val="center"/>
              <w:rPr>
                <w:bCs/>
                <w:sz w:val="24"/>
                <w:szCs w:val="24"/>
              </w:rPr>
            </w:pPr>
          </w:p>
        </w:tc>
        <w:tc>
          <w:tcPr>
            <w:tcW w:w="1701" w:type="dxa"/>
            <w:vAlign w:val="center"/>
          </w:tcPr>
          <w:p>
            <w:pPr>
              <w:overflowPunct w:val="0"/>
              <w:spacing w:line="240" w:lineRule="auto"/>
              <w:ind w:firstLine="0" w:firstLineChars="0"/>
              <w:jc w:val="center"/>
              <w:rPr>
                <w:bCs/>
                <w:sz w:val="24"/>
                <w:szCs w:val="24"/>
              </w:rPr>
            </w:pPr>
            <w:r>
              <w:rPr>
                <w:rFonts w:hint="eastAsia"/>
                <w:bCs/>
                <w:sz w:val="24"/>
                <w:szCs w:val="24"/>
              </w:rPr>
              <w:t>规</w:t>
            </w:r>
            <w:r>
              <w:rPr>
                <w:bCs/>
                <w:sz w:val="24"/>
                <w:szCs w:val="24"/>
              </w:rPr>
              <w:t xml:space="preserve">    </w:t>
            </w:r>
            <w:r>
              <w:rPr>
                <w:rFonts w:hint="eastAsia"/>
                <w:bCs/>
                <w:sz w:val="24"/>
                <w:szCs w:val="24"/>
              </w:rPr>
              <w:t>格</w:t>
            </w:r>
          </w:p>
        </w:tc>
        <w:tc>
          <w:tcPr>
            <w:tcW w:w="2126" w:type="dxa"/>
            <w:gridSpan w:val="2"/>
            <w:vAlign w:val="center"/>
          </w:tcPr>
          <w:p>
            <w:pPr>
              <w:overflowPunct w:val="0"/>
              <w:spacing w:line="240" w:lineRule="auto"/>
              <w:ind w:firstLine="0" w:firstLineChars="0"/>
              <w:jc w:val="center"/>
              <w:rPr>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63" w:type="dxa"/>
            <w:vAlign w:val="center"/>
          </w:tcPr>
          <w:p>
            <w:pPr>
              <w:overflowPunct w:val="0"/>
              <w:spacing w:line="240" w:lineRule="auto"/>
              <w:ind w:firstLine="0" w:firstLineChars="0"/>
              <w:jc w:val="center"/>
              <w:rPr>
                <w:bCs/>
                <w:sz w:val="24"/>
                <w:szCs w:val="24"/>
              </w:rPr>
            </w:pPr>
            <w:r>
              <w:rPr>
                <w:rFonts w:hint="eastAsia"/>
                <w:bCs/>
                <w:sz w:val="24"/>
                <w:szCs w:val="24"/>
              </w:rPr>
              <w:t>申请人</w:t>
            </w:r>
          </w:p>
        </w:tc>
        <w:tc>
          <w:tcPr>
            <w:tcW w:w="6804" w:type="dxa"/>
            <w:gridSpan w:val="4"/>
            <w:vAlign w:val="center"/>
          </w:tcPr>
          <w:p>
            <w:pPr>
              <w:overflowPunct w:val="0"/>
              <w:spacing w:line="240" w:lineRule="auto"/>
              <w:ind w:firstLine="0" w:firstLineChars="0"/>
              <w:rPr>
                <w:bCs/>
                <w:sz w:val="24"/>
                <w:szCs w:val="24"/>
              </w:rPr>
            </w:pPr>
            <w:r>
              <w:rPr>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63" w:type="dxa"/>
            <w:vAlign w:val="center"/>
          </w:tcPr>
          <w:p>
            <w:pPr>
              <w:overflowPunct w:val="0"/>
              <w:spacing w:line="240" w:lineRule="auto"/>
              <w:ind w:firstLine="0" w:firstLineChars="0"/>
              <w:jc w:val="center"/>
              <w:rPr>
                <w:bCs/>
                <w:sz w:val="24"/>
                <w:szCs w:val="24"/>
              </w:rPr>
            </w:pPr>
            <w:r>
              <w:rPr>
                <w:rFonts w:hint="eastAsia"/>
                <w:bCs/>
                <w:sz w:val="24"/>
                <w:szCs w:val="24"/>
              </w:rPr>
              <w:t>申请事项分类</w:t>
            </w:r>
          </w:p>
        </w:tc>
        <w:tc>
          <w:tcPr>
            <w:tcW w:w="5954" w:type="dxa"/>
            <w:gridSpan w:val="3"/>
            <w:vAlign w:val="center"/>
          </w:tcPr>
          <w:p>
            <w:pPr>
              <w:overflowPunct w:val="0"/>
              <w:spacing w:line="240" w:lineRule="auto"/>
              <w:ind w:firstLine="0" w:firstLineChars="0"/>
              <w:jc w:val="center"/>
              <w:rPr>
                <w:bCs/>
                <w:sz w:val="24"/>
                <w:szCs w:val="24"/>
              </w:rPr>
            </w:pPr>
          </w:p>
        </w:tc>
        <w:tc>
          <w:tcPr>
            <w:tcW w:w="850" w:type="dxa"/>
            <w:vAlign w:val="center"/>
          </w:tcPr>
          <w:p>
            <w:pPr>
              <w:overflowPunct w:val="0"/>
              <w:spacing w:line="240" w:lineRule="auto"/>
              <w:ind w:firstLine="0" w:firstLineChars="0"/>
              <w:jc w:val="center"/>
              <w:rPr>
                <w:bCs/>
                <w:sz w:val="24"/>
                <w:szCs w:val="24"/>
              </w:rPr>
            </w:pPr>
            <w:r>
              <w:rPr>
                <w:rFonts w:hint="eastAsia"/>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9067" w:type="dxa"/>
            <w:gridSpan w:val="5"/>
            <w:vAlign w:val="center"/>
          </w:tcPr>
          <w:p>
            <w:pPr>
              <w:overflowPunct w:val="0"/>
              <w:spacing w:line="240" w:lineRule="auto"/>
              <w:ind w:firstLine="0" w:firstLineChars="0"/>
              <w:jc w:val="center"/>
              <w:rPr>
                <w:rFonts w:eastAsia="黑体"/>
                <w:bCs/>
                <w:sz w:val="24"/>
                <w:szCs w:val="24"/>
              </w:rPr>
            </w:pPr>
            <w:r>
              <w:rPr>
                <w:rFonts w:hint="eastAsia" w:eastAsia="黑体"/>
                <w:bCs/>
                <w:sz w:val="24"/>
                <w:szCs w:val="24"/>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240" w:type="dxa"/>
            <w:gridSpan w:val="2"/>
            <w:vAlign w:val="center"/>
          </w:tcPr>
          <w:p>
            <w:pPr>
              <w:overflowPunct w:val="0"/>
              <w:spacing w:line="240" w:lineRule="auto"/>
              <w:ind w:firstLine="0" w:firstLineChars="0"/>
              <w:jc w:val="left"/>
              <w:rPr>
                <w:bCs/>
                <w:sz w:val="24"/>
                <w:szCs w:val="24"/>
              </w:rPr>
            </w:pPr>
            <w:r>
              <w:rPr>
                <w:bCs/>
                <w:sz w:val="24"/>
                <w:szCs w:val="24"/>
              </w:rPr>
              <w:t>1.1</w:t>
            </w:r>
            <w:r>
              <w:rPr>
                <w:rFonts w:hint="eastAsia"/>
                <w:bCs/>
                <w:sz w:val="24"/>
                <w:szCs w:val="24"/>
              </w:rPr>
              <w:t>是否属于补充申请申报的范围</w:t>
            </w:r>
          </w:p>
        </w:tc>
        <w:tc>
          <w:tcPr>
            <w:tcW w:w="1701" w:type="dxa"/>
            <w:vAlign w:val="center"/>
          </w:tcPr>
          <w:p>
            <w:pPr>
              <w:overflowPunct w:val="0"/>
              <w:spacing w:line="240" w:lineRule="auto"/>
              <w:ind w:firstLine="0" w:firstLineChars="0"/>
              <w:jc w:val="left"/>
              <w:rPr>
                <w:bCs/>
                <w:sz w:val="24"/>
                <w:szCs w:val="24"/>
              </w:rPr>
            </w:pPr>
            <w:r>
              <w:rPr>
                <w:rFonts w:hint="eastAsia"/>
                <w:bCs/>
                <w:sz w:val="24"/>
                <w:szCs w:val="24"/>
              </w:rPr>
              <w:t>□符合</w:t>
            </w:r>
          </w:p>
        </w:tc>
        <w:tc>
          <w:tcPr>
            <w:tcW w:w="1276" w:type="dxa"/>
            <w:vAlign w:val="center"/>
          </w:tcPr>
          <w:p>
            <w:pPr>
              <w:overflowPunct w:val="0"/>
              <w:spacing w:line="240" w:lineRule="auto"/>
              <w:ind w:firstLine="0" w:firstLineChars="0"/>
              <w:jc w:val="left"/>
              <w:rPr>
                <w:bCs/>
                <w:sz w:val="24"/>
                <w:szCs w:val="24"/>
              </w:rPr>
            </w:pPr>
            <w:r>
              <w:rPr>
                <w:rFonts w:hint="eastAsia"/>
                <w:bCs/>
                <w:sz w:val="24"/>
                <w:szCs w:val="24"/>
              </w:rPr>
              <w:t>□不符合</w:t>
            </w:r>
          </w:p>
        </w:tc>
        <w:tc>
          <w:tcPr>
            <w:tcW w:w="850" w:type="dxa"/>
            <w:vAlign w:val="center"/>
          </w:tcPr>
          <w:p>
            <w:pPr>
              <w:overflowPunct w:val="0"/>
              <w:spacing w:line="240" w:lineRule="auto"/>
              <w:ind w:firstLine="0" w:firstLineChars="0"/>
              <w:jc w:val="left"/>
              <w:rPr>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240" w:type="dxa"/>
            <w:gridSpan w:val="2"/>
            <w:vAlign w:val="center"/>
          </w:tcPr>
          <w:p>
            <w:pPr>
              <w:overflowPunct w:val="0"/>
              <w:spacing w:line="240" w:lineRule="auto"/>
              <w:ind w:firstLine="0" w:firstLineChars="0"/>
              <w:jc w:val="left"/>
              <w:rPr>
                <w:bCs/>
                <w:sz w:val="24"/>
                <w:szCs w:val="24"/>
              </w:rPr>
            </w:pPr>
            <w:r>
              <w:rPr>
                <w:bCs/>
                <w:sz w:val="24"/>
                <w:szCs w:val="24"/>
              </w:rPr>
              <w:t>1.2</w:t>
            </w:r>
            <w:r>
              <w:rPr>
                <w:rFonts w:hint="eastAsia"/>
                <w:bCs/>
                <w:sz w:val="24"/>
                <w:szCs w:val="24"/>
              </w:rPr>
              <w:t>申报品种状态</w:t>
            </w:r>
          </w:p>
        </w:tc>
        <w:tc>
          <w:tcPr>
            <w:tcW w:w="2977" w:type="dxa"/>
            <w:gridSpan w:val="2"/>
            <w:vAlign w:val="center"/>
          </w:tcPr>
          <w:p>
            <w:pPr>
              <w:overflowPunct w:val="0"/>
              <w:spacing w:line="240" w:lineRule="auto"/>
              <w:ind w:firstLine="0" w:firstLineChars="0"/>
              <w:jc w:val="left"/>
              <w:rPr>
                <w:bCs/>
                <w:sz w:val="24"/>
                <w:szCs w:val="24"/>
              </w:rPr>
            </w:pPr>
            <w:r>
              <w:rPr>
                <w:rFonts w:hint="eastAsia"/>
                <w:bCs/>
                <w:sz w:val="24"/>
                <w:szCs w:val="24"/>
              </w:rPr>
              <w:t>□已上市   □已批准临床</w:t>
            </w:r>
          </w:p>
          <w:p>
            <w:pPr>
              <w:overflowPunct w:val="0"/>
              <w:spacing w:line="240" w:lineRule="auto"/>
              <w:ind w:firstLine="0" w:firstLineChars="0"/>
              <w:jc w:val="left"/>
              <w:rPr>
                <w:bCs/>
                <w:sz w:val="24"/>
                <w:szCs w:val="24"/>
              </w:rPr>
            </w:pPr>
            <w:r>
              <w:rPr>
                <w:rFonts w:hint="eastAsia"/>
                <w:bCs/>
                <w:sz w:val="24"/>
                <w:szCs w:val="24"/>
              </w:rPr>
              <w:t>□在审评审批</w:t>
            </w:r>
          </w:p>
        </w:tc>
        <w:tc>
          <w:tcPr>
            <w:tcW w:w="850" w:type="dxa"/>
            <w:vAlign w:val="center"/>
          </w:tcPr>
          <w:p>
            <w:pPr>
              <w:overflowPunct w:val="0"/>
              <w:spacing w:line="240" w:lineRule="auto"/>
              <w:ind w:firstLine="0" w:firstLineChars="0"/>
              <w:jc w:val="left"/>
              <w:rPr>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240" w:type="dxa"/>
            <w:gridSpan w:val="2"/>
            <w:vAlign w:val="center"/>
          </w:tcPr>
          <w:p>
            <w:pPr>
              <w:overflowPunct w:val="0"/>
              <w:spacing w:line="240" w:lineRule="auto"/>
              <w:ind w:firstLine="0" w:firstLineChars="0"/>
              <w:jc w:val="left"/>
              <w:rPr>
                <w:bCs/>
                <w:sz w:val="24"/>
                <w:szCs w:val="24"/>
              </w:rPr>
            </w:pPr>
            <w:r>
              <w:rPr>
                <w:bCs/>
                <w:sz w:val="24"/>
                <w:szCs w:val="24"/>
              </w:rPr>
              <w:t>1.3</w:t>
            </w:r>
            <w:r>
              <w:rPr>
                <w:rFonts w:hint="eastAsia"/>
                <w:bCs/>
                <w:sz w:val="24"/>
                <w:szCs w:val="24"/>
              </w:rPr>
              <w:t>申请事项分类是否准确</w:t>
            </w:r>
          </w:p>
        </w:tc>
        <w:tc>
          <w:tcPr>
            <w:tcW w:w="1701" w:type="dxa"/>
            <w:vAlign w:val="center"/>
          </w:tcPr>
          <w:p>
            <w:pPr>
              <w:overflowPunct w:val="0"/>
              <w:spacing w:line="240" w:lineRule="auto"/>
              <w:ind w:firstLine="0" w:firstLineChars="0"/>
              <w:jc w:val="left"/>
              <w:rPr>
                <w:bCs/>
                <w:sz w:val="24"/>
                <w:szCs w:val="24"/>
              </w:rPr>
            </w:pPr>
            <w:r>
              <w:rPr>
                <w:rFonts w:hint="eastAsia"/>
                <w:bCs/>
                <w:sz w:val="24"/>
                <w:szCs w:val="24"/>
              </w:rPr>
              <w:t>□是</w:t>
            </w:r>
          </w:p>
        </w:tc>
        <w:tc>
          <w:tcPr>
            <w:tcW w:w="1276" w:type="dxa"/>
            <w:vAlign w:val="center"/>
          </w:tcPr>
          <w:p>
            <w:pPr>
              <w:overflowPunct w:val="0"/>
              <w:spacing w:line="240" w:lineRule="auto"/>
              <w:ind w:firstLine="0" w:firstLineChars="0"/>
              <w:jc w:val="left"/>
              <w:rPr>
                <w:bCs/>
                <w:sz w:val="24"/>
                <w:szCs w:val="24"/>
              </w:rPr>
            </w:pPr>
            <w:r>
              <w:rPr>
                <w:rFonts w:hint="eastAsia"/>
                <w:bCs/>
                <w:sz w:val="24"/>
                <w:szCs w:val="24"/>
              </w:rPr>
              <w:t>□否</w:t>
            </w:r>
          </w:p>
        </w:tc>
        <w:tc>
          <w:tcPr>
            <w:tcW w:w="850" w:type="dxa"/>
            <w:vAlign w:val="center"/>
          </w:tcPr>
          <w:p>
            <w:pPr>
              <w:overflowPunct w:val="0"/>
              <w:spacing w:line="240" w:lineRule="auto"/>
              <w:ind w:firstLine="0" w:firstLineChars="0"/>
              <w:jc w:val="left"/>
              <w:rPr>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240" w:type="dxa"/>
            <w:gridSpan w:val="2"/>
            <w:vAlign w:val="center"/>
          </w:tcPr>
          <w:p>
            <w:pPr>
              <w:overflowPunct w:val="0"/>
              <w:spacing w:line="240" w:lineRule="auto"/>
              <w:ind w:firstLine="0" w:firstLineChars="0"/>
              <w:jc w:val="left"/>
              <w:rPr>
                <w:bCs/>
                <w:sz w:val="24"/>
                <w:szCs w:val="24"/>
              </w:rPr>
            </w:pPr>
            <w:r>
              <w:rPr>
                <w:bCs/>
                <w:sz w:val="24"/>
                <w:szCs w:val="24"/>
              </w:rPr>
              <w:t>1.4</w:t>
            </w:r>
            <w:r>
              <w:rPr>
                <w:rFonts w:hint="eastAsia"/>
                <w:bCs/>
                <w:sz w:val="24"/>
                <w:szCs w:val="24"/>
              </w:rPr>
              <w:t>是否按相关技术指导原则完成研究</w:t>
            </w:r>
          </w:p>
        </w:tc>
        <w:tc>
          <w:tcPr>
            <w:tcW w:w="1701" w:type="dxa"/>
            <w:vAlign w:val="center"/>
          </w:tcPr>
          <w:p>
            <w:pPr>
              <w:overflowPunct w:val="0"/>
              <w:spacing w:line="240" w:lineRule="auto"/>
              <w:ind w:firstLine="0" w:firstLineChars="0"/>
              <w:jc w:val="left"/>
              <w:rPr>
                <w:bCs/>
                <w:sz w:val="24"/>
                <w:szCs w:val="24"/>
              </w:rPr>
            </w:pPr>
            <w:r>
              <w:rPr>
                <w:rFonts w:hint="eastAsia"/>
                <w:bCs/>
                <w:sz w:val="24"/>
                <w:szCs w:val="24"/>
              </w:rPr>
              <w:t>□是</w:t>
            </w:r>
          </w:p>
        </w:tc>
        <w:tc>
          <w:tcPr>
            <w:tcW w:w="1276" w:type="dxa"/>
            <w:vAlign w:val="center"/>
          </w:tcPr>
          <w:p>
            <w:pPr>
              <w:overflowPunct w:val="0"/>
              <w:spacing w:line="240" w:lineRule="auto"/>
              <w:ind w:firstLine="0" w:firstLineChars="0"/>
              <w:jc w:val="left"/>
              <w:rPr>
                <w:bCs/>
                <w:sz w:val="24"/>
                <w:szCs w:val="24"/>
              </w:rPr>
            </w:pPr>
            <w:r>
              <w:rPr>
                <w:rFonts w:hint="eastAsia"/>
                <w:bCs/>
                <w:sz w:val="24"/>
                <w:szCs w:val="24"/>
              </w:rPr>
              <w:t>□否</w:t>
            </w:r>
          </w:p>
        </w:tc>
        <w:tc>
          <w:tcPr>
            <w:tcW w:w="850" w:type="dxa"/>
            <w:vAlign w:val="center"/>
          </w:tcPr>
          <w:p>
            <w:pPr>
              <w:overflowPunct w:val="0"/>
              <w:spacing w:line="240" w:lineRule="auto"/>
              <w:ind w:firstLine="0" w:firstLineChars="0"/>
              <w:jc w:val="left"/>
              <w:rPr>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240" w:type="dxa"/>
            <w:gridSpan w:val="2"/>
            <w:vAlign w:val="center"/>
          </w:tcPr>
          <w:p>
            <w:pPr>
              <w:overflowPunct w:val="0"/>
              <w:spacing w:line="240" w:lineRule="auto"/>
              <w:ind w:firstLine="0" w:firstLineChars="0"/>
              <w:jc w:val="left"/>
              <w:rPr>
                <w:bCs/>
                <w:sz w:val="24"/>
                <w:szCs w:val="24"/>
              </w:rPr>
            </w:pPr>
            <w:r>
              <w:rPr>
                <w:bCs/>
                <w:sz w:val="24"/>
                <w:szCs w:val="24"/>
              </w:rPr>
              <w:t>1.5</w:t>
            </w:r>
            <w:r>
              <w:rPr>
                <w:rFonts w:hint="eastAsia"/>
                <w:bCs/>
                <w:sz w:val="24"/>
                <w:szCs w:val="24"/>
              </w:rPr>
              <w:t>国家局其他相关规定不予受理的情形</w:t>
            </w:r>
          </w:p>
        </w:tc>
        <w:tc>
          <w:tcPr>
            <w:tcW w:w="1701" w:type="dxa"/>
            <w:vAlign w:val="center"/>
          </w:tcPr>
          <w:p>
            <w:pPr>
              <w:overflowPunct w:val="0"/>
              <w:spacing w:line="240" w:lineRule="auto"/>
              <w:ind w:firstLine="0" w:firstLineChars="0"/>
              <w:jc w:val="left"/>
              <w:rPr>
                <w:bCs/>
                <w:sz w:val="24"/>
                <w:szCs w:val="24"/>
              </w:rPr>
            </w:pPr>
            <w:r>
              <w:rPr>
                <w:rFonts w:hint="eastAsia"/>
                <w:bCs/>
                <w:sz w:val="24"/>
                <w:szCs w:val="24"/>
              </w:rPr>
              <w:t>□否</w:t>
            </w:r>
          </w:p>
        </w:tc>
        <w:tc>
          <w:tcPr>
            <w:tcW w:w="1276" w:type="dxa"/>
            <w:vAlign w:val="center"/>
          </w:tcPr>
          <w:p>
            <w:pPr>
              <w:overflowPunct w:val="0"/>
              <w:spacing w:line="240" w:lineRule="auto"/>
              <w:ind w:firstLine="0" w:firstLineChars="0"/>
              <w:jc w:val="left"/>
              <w:rPr>
                <w:bCs/>
                <w:sz w:val="24"/>
                <w:szCs w:val="24"/>
              </w:rPr>
            </w:pPr>
            <w:r>
              <w:rPr>
                <w:rFonts w:hint="eastAsia"/>
                <w:bCs/>
                <w:sz w:val="24"/>
                <w:szCs w:val="24"/>
              </w:rPr>
              <w:t>□是</w:t>
            </w:r>
          </w:p>
        </w:tc>
        <w:tc>
          <w:tcPr>
            <w:tcW w:w="850" w:type="dxa"/>
            <w:vAlign w:val="center"/>
          </w:tcPr>
          <w:p>
            <w:pPr>
              <w:overflowPunct w:val="0"/>
              <w:spacing w:line="240" w:lineRule="auto"/>
              <w:ind w:firstLine="0" w:firstLineChars="0"/>
              <w:jc w:val="left"/>
              <w:rPr>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9067" w:type="dxa"/>
            <w:gridSpan w:val="5"/>
            <w:vAlign w:val="center"/>
          </w:tcPr>
          <w:p>
            <w:pPr>
              <w:overflowPunct w:val="0"/>
              <w:adjustRightInd w:val="0"/>
              <w:snapToGrid w:val="0"/>
              <w:spacing w:line="240" w:lineRule="auto"/>
              <w:ind w:firstLine="0" w:firstLineChars="0"/>
              <w:jc w:val="center"/>
              <w:rPr>
                <w:rFonts w:eastAsia="黑体"/>
                <w:bCs/>
                <w:sz w:val="24"/>
                <w:szCs w:val="24"/>
              </w:rPr>
            </w:pPr>
            <w:r>
              <w:rPr>
                <w:rFonts w:hint="eastAsia" w:eastAsia="黑体"/>
                <w:bCs/>
                <w:sz w:val="24"/>
                <w:szCs w:val="24"/>
              </w:rPr>
              <w:t>二、申报资料自查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5240" w:type="dxa"/>
            <w:gridSpan w:val="2"/>
            <w:vAlign w:val="center"/>
          </w:tcPr>
          <w:p>
            <w:pPr>
              <w:overflowPunct w:val="0"/>
              <w:spacing w:line="240" w:lineRule="auto"/>
              <w:ind w:firstLine="0" w:firstLineChars="0"/>
              <w:jc w:val="left"/>
              <w:rPr>
                <w:color w:val="000000"/>
                <w:sz w:val="24"/>
                <w:szCs w:val="24"/>
              </w:rPr>
            </w:pPr>
            <w:r>
              <w:rPr>
                <w:color w:val="000000"/>
                <w:sz w:val="24"/>
                <w:szCs w:val="24"/>
              </w:rPr>
              <w:t>2.1</w:t>
            </w:r>
            <w:r>
              <w:rPr>
                <w:rFonts w:hint="eastAsia"/>
                <w:bCs/>
                <w:sz w:val="24"/>
                <w:szCs w:val="24"/>
              </w:rPr>
              <w:t>资料项目及目录是否按《已上市化学药品变更事项及申报资料要求》提交</w:t>
            </w:r>
          </w:p>
        </w:tc>
        <w:tc>
          <w:tcPr>
            <w:tcW w:w="1701" w:type="dxa"/>
            <w:vAlign w:val="center"/>
          </w:tcPr>
          <w:p>
            <w:pPr>
              <w:overflowPunct w:val="0"/>
              <w:spacing w:line="240" w:lineRule="auto"/>
              <w:ind w:firstLine="0" w:firstLineChars="0"/>
              <w:jc w:val="left"/>
              <w:rPr>
                <w:bCs/>
                <w:sz w:val="24"/>
                <w:szCs w:val="24"/>
              </w:rPr>
            </w:pPr>
            <w:r>
              <w:rPr>
                <w:rFonts w:hint="eastAsia"/>
                <w:bCs/>
                <w:sz w:val="24"/>
                <w:szCs w:val="24"/>
              </w:rPr>
              <w:t>□是</w:t>
            </w:r>
          </w:p>
        </w:tc>
        <w:tc>
          <w:tcPr>
            <w:tcW w:w="1276" w:type="dxa"/>
            <w:vAlign w:val="center"/>
          </w:tcPr>
          <w:p>
            <w:pPr>
              <w:overflowPunct w:val="0"/>
              <w:spacing w:line="240" w:lineRule="auto"/>
              <w:ind w:firstLine="0" w:firstLineChars="0"/>
              <w:jc w:val="left"/>
              <w:rPr>
                <w:bCs/>
                <w:sz w:val="24"/>
                <w:szCs w:val="24"/>
              </w:rPr>
            </w:pPr>
            <w:r>
              <w:rPr>
                <w:rFonts w:hint="eastAsia"/>
                <w:bCs/>
                <w:sz w:val="24"/>
                <w:szCs w:val="24"/>
              </w:rPr>
              <w:t>□否</w:t>
            </w:r>
          </w:p>
        </w:tc>
        <w:tc>
          <w:tcPr>
            <w:tcW w:w="850" w:type="dxa"/>
            <w:vAlign w:val="center"/>
          </w:tcPr>
          <w:p>
            <w:pPr>
              <w:overflowPunct w:val="0"/>
              <w:spacing w:line="240" w:lineRule="auto"/>
              <w:ind w:firstLine="0" w:firstLineChars="0"/>
              <w:jc w:val="left"/>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jc w:val="center"/>
        </w:trPr>
        <w:tc>
          <w:tcPr>
            <w:tcW w:w="5240" w:type="dxa"/>
            <w:gridSpan w:val="2"/>
            <w:vAlign w:val="center"/>
          </w:tcPr>
          <w:p>
            <w:pPr>
              <w:overflowPunct w:val="0"/>
              <w:spacing w:line="240" w:lineRule="auto"/>
              <w:ind w:firstLine="0" w:firstLineChars="0"/>
              <w:jc w:val="left"/>
              <w:rPr>
                <w:bCs/>
                <w:sz w:val="24"/>
                <w:szCs w:val="24"/>
              </w:rPr>
            </w:pPr>
            <w:r>
              <w:rPr>
                <w:bCs/>
                <w:sz w:val="24"/>
                <w:szCs w:val="24"/>
              </w:rPr>
              <w:t>2.2</w:t>
            </w:r>
            <w:r>
              <w:rPr>
                <w:rFonts w:hint="eastAsia"/>
                <w:bCs/>
                <w:sz w:val="24"/>
                <w:szCs w:val="24"/>
              </w:rPr>
              <w:t>是否逐个封面加盖申请人或注册代理机构印章</w:t>
            </w:r>
          </w:p>
        </w:tc>
        <w:tc>
          <w:tcPr>
            <w:tcW w:w="1701" w:type="dxa"/>
            <w:vAlign w:val="center"/>
          </w:tcPr>
          <w:p>
            <w:pPr>
              <w:overflowPunct w:val="0"/>
              <w:spacing w:line="240" w:lineRule="auto"/>
              <w:ind w:firstLine="0" w:firstLineChars="0"/>
              <w:jc w:val="left"/>
              <w:rPr>
                <w:bCs/>
                <w:sz w:val="24"/>
                <w:szCs w:val="24"/>
              </w:rPr>
            </w:pPr>
            <w:r>
              <w:rPr>
                <w:rFonts w:hint="eastAsia"/>
                <w:bCs/>
                <w:sz w:val="24"/>
                <w:szCs w:val="24"/>
              </w:rPr>
              <w:t>□是</w:t>
            </w:r>
          </w:p>
        </w:tc>
        <w:tc>
          <w:tcPr>
            <w:tcW w:w="1276" w:type="dxa"/>
            <w:vAlign w:val="center"/>
          </w:tcPr>
          <w:p>
            <w:pPr>
              <w:overflowPunct w:val="0"/>
              <w:spacing w:line="240" w:lineRule="auto"/>
              <w:ind w:firstLine="0" w:firstLineChars="0"/>
              <w:jc w:val="left"/>
              <w:rPr>
                <w:bCs/>
                <w:sz w:val="24"/>
                <w:szCs w:val="24"/>
              </w:rPr>
            </w:pPr>
            <w:r>
              <w:rPr>
                <w:rFonts w:hint="eastAsia"/>
                <w:bCs/>
                <w:sz w:val="24"/>
                <w:szCs w:val="24"/>
              </w:rPr>
              <w:t>□否</w:t>
            </w:r>
          </w:p>
        </w:tc>
        <w:tc>
          <w:tcPr>
            <w:tcW w:w="850" w:type="dxa"/>
            <w:vAlign w:val="center"/>
          </w:tcPr>
          <w:p>
            <w:pPr>
              <w:overflowPunct w:val="0"/>
              <w:spacing w:line="240" w:lineRule="auto"/>
              <w:ind w:firstLine="0" w:firstLineChars="0"/>
              <w:jc w:val="left"/>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5240" w:type="dxa"/>
            <w:gridSpan w:val="2"/>
            <w:vAlign w:val="center"/>
          </w:tcPr>
          <w:p>
            <w:pPr>
              <w:overflowPunct w:val="0"/>
              <w:spacing w:line="240" w:lineRule="auto"/>
              <w:ind w:firstLine="0" w:firstLineChars="0"/>
              <w:jc w:val="left"/>
              <w:rPr>
                <w:bCs/>
                <w:sz w:val="24"/>
                <w:szCs w:val="24"/>
              </w:rPr>
            </w:pPr>
            <w:r>
              <w:rPr>
                <w:bCs/>
                <w:sz w:val="24"/>
                <w:szCs w:val="24"/>
              </w:rPr>
              <w:t>2.3</w:t>
            </w:r>
            <w:r>
              <w:rPr>
                <w:rFonts w:hint="eastAsia"/>
                <w:bCs/>
                <w:sz w:val="24"/>
                <w:szCs w:val="24"/>
              </w:rPr>
              <w:t>是否按照填表说明要求填写申请表</w:t>
            </w:r>
          </w:p>
        </w:tc>
        <w:tc>
          <w:tcPr>
            <w:tcW w:w="1701" w:type="dxa"/>
            <w:vAlign w:val="center"/>
          </w:tcPr>
          <w:p>
            <w:pPr>
              <w:overflowPunct w:val="0"/>
              <w:spacing w:line="240" w:lineRule="auto"/>
              <w:ind w:firstLine="0" w:firstLineChars="0"/>
              <w:jc w:val="left"/>
              <w:rPr>
                <w:bCs/>
                <w:sz w:val="24"/>
                <w:szCs w:val="24"/>
              </w:rPr>
            </w:pPr>
            <w:r>
              <w:rPr>
                <w:rFonts w:hint="eastAsia"/>
                <w:bCs/>
                <w:sz w:val="24"/>
                <w:szCs w:val="24"/>
              </w:rPr>
              <w:t>□是</w:t>
            </w:r>
          </w:p>
        </w:tc>
        <w:tc>
          <w:tcPr>
            <w:tcW w:w="1276" w:type="dxa"/>
            <w:vAlign w:val="center"/>
          </w:tcPr>
          <w:p>
            <w:pPr>
              <w:overflowPunct w:val="0"/>
              <w:spacing w:line="240" w:lineRule="auto"/>
              <w:ind w:firstLine="0" w:firstLineChars="0"/>
              <w:jc w:val="left"/>
              <w:rPr>
                <w:bCs/>
                <w:sz w:val="24"/>
                <w:szCs w:val="24"/>
              </w:rPr>
            </w:pPr>
            <w:r>
              <w:rPr>
                <w:rFonts w:hint="eastAsia"/>
                <w:bCs/>
                <w:sz w:val="24"/>
                <w:szCs w:val="24"/>
              </w:rPr>
              <w:t>□否</w:t>
            </w:r>
          </w:p>
        </w:tc>
        <w:tc>
          <w:tcPr>
            <w:tcW w:w="850" w:type="dxa"/>
            <w:vAlign w:val="center"/>
          </w:tcPr>
          <w:p>
            <w:pPr>
              <w:overflowPunct w:val="0"/>
              <w:spacing w:line="240" w:lineRule="auto"/>
              <w:ind w:firstLine="0" w:firstLineChars="0"/>
              <w:jc w:val="left"/>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240" w:type="dxa"/>
            <w:gridSpan w:val="2"/>
            <w:vAlign w:val="center"/>
          </w:tcPr>
          <w:p>
            <w:pPr>
              <w:overflowPunct w:val="0"/>
              <w:spacing w:line="240" w:lineRule="auto"/>
              <w:ind w:firstLine="0" w:firstLineChars="0"/>
              <w:jc w:val="left"/>
              <w:rPr>
                <w:bCs/>
                <w:sz w:val="24"/>
                <w:szCs w:val="24"/>
              </w:rPr>
            </w:pPr>
            <w:r>
              <w:rPr>
                <w:bCs/>
                <w:sz w:val="24"/>
                <w:szCs w:val="24"/>
              </w:rPr>
              <w:t>2.4</w:t>
            </w:r>
            <w:r>
              <w:rPr>
                <w:rFonts w:hint="eastAsia"/>
                <w:bCs/>
                <w:sz w:val="24"/>
                <w:szCs w:val="24"/>
              </w:rPr>
              <w:t>申请表填报信息是否与申报资料中内容一致</w:t>
            </w:r>
          </w:p>
        </w:tc>
        <w:tc>
          <w:tcPr>
            <w:tcW w:w="1701" w:type="dxa"/>
            <w:vAlign w:val="center"/>
          </w:tcPr>
          <w:p>
            <w:pPr>
              <w:overflowPunct w:val="0"/>
              <w:spacing w:line="240" w:lineRule="auto"/>
              <w:ind w:firstLine="0" w:firstLineChars="0"/>
              <w:jc w:val="left"/>
              <w:rPr>
                <w:bCs/>
                <w:sz w:val="24"/>
                <w:szCs w:val="24"/>
              </w:rPr>
            </w:pPr>
            <w:r>
              <w:rPr>
                <w:rFonts w:hint="eastAsia"/>
                <w:bCs/>
                <w:sz w:val="24"/>
                <w:szCs w:val="24"/>
              </w:rPr>
              <w:t>□是</w:t>
            </w:r>
          </w:p>
        </w:tc>
        <w:tc>
          <w:tcPr>
            <w:tcW w:w="1276" w:type="dxa"/>
            <w:vAlign w:val="center"/>
          </w:tcPr>
          <w:p>
            <w:pPr>
              <w:overflowPunct w:val="0"/>
              <w:spacing w:line="240" w:lineRule="auto"/>
              <w:ind w:firstLine="0" w:firstLineChars="0"/>
              <w:jc w:val="left"/>
              <w:rPr>
                <w:bCs/>
                <w:sz w:val="24"/>
                <w:szCs w:val="24"/>
              </w:rPr>
            </w:pPr>
            <w:r>
              <w:rPr>
                <w:rFonts w:hint="eastAsia"/>
                <w:bCs/>
                <w:sz w:val="24"/>
                <w:szCs w:val="24"/>
              </w:rPr>
              <w:t>□否</w:t>
            </w:r>
          </w:p>
        </w:tc>
        <w:tc>
          <w:tcPr>
            <w:tcW w:w="850" w:type="dxa"/>
            <w:vAlign w:val="center"/>
          </w:tcPr>
          <w:p>
            <w:pPr>
              <w:overflowPunct w:val="0"/>
              <w:spacing w:line="240" w:lineRule="auto"/>
              <w:ind w:firstLine="0" w:firstLineChars="0"/>
              <w:jc w:val="left"/>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5240" w:type="dxa"/>
            <w:gridSpan w:val="2"/>
            <w:vAlign w:val="center"/>
          </w:tcPr>
          <w:p>
            <w:pPr>
              <w:overflowPunct w:val="0"/>
              <w:spacing w:line="240" w:lineRule="auto"/>
              <w:ind w:firstLine="0" w:firstLineChars="0"/>
              <w:jc w:val="left"/>
              <w:rPr>
                <w:bCs/>
                <w:sz w:val="24"/>
                <w:szCs w:val="24"/>
              </w:rPr>
            </w:pPr>
            <w:r>
              <w:rPr>
                <w:bCs/>
                <w:sz w:val="24"/>
                <w:szCs w:val="24"/>
              </w:rPr>
              <w:t>2.5</w:t>
            </w:r>
            <w:r>
              <w:rPr>
                <w:rFonts w:hint="eastAsia"/>
                <w:bCs/>
                <w:sz w:val="24"/>
                <w:szCs w:val="24"/>
              </w:rPr>
              <w:t>所提交证明是否均在有效期内</w:t>
            </w:r>
          </w:p>
        </w:tc>
        <w:tc>
          <w:tcPr>
            <w:tcW w:w="1701" w:type="dxa"/>
            <w:vAlign w:val="center"/>
          </w:tcPr>
          <w:p>
            <w:pPr>
              <w:overflowPunct w:val="0"/>
              <w:spacing w:line="240" w:lineRule="auto"/>
              <w:ind w:firstLine="0" w:firstLineChars="0"/>
              <w:jc w:val="left"/>
              <w:rPr>
                <w:bCs/>
                <w:sz w:val="24"/>
                <w:szCs w:val="24"/>
              </w:rPr>
            </w:pPr>
            <w:r>
              <w:rPr>
                <w:rFonts w:hint="eastAsia"/>
                <w:bCs/>
                <w:sz w:val="24"/>
                <w:szCs w:val="24"/>
              </w:rPr>
              <w:t>□是</w:t>
            </w:r>
          </w:p>
        </w:tc>
        <w:tc>
          <w:tcPr>
            <w:tcW w:w="1276" w:type="dxa"/>
            <w:vAlign w:val="center"/>
          </w:tcPr>
          <w:p>
            <w:pPr>
              <w:overflowPunct w:val="0"/>
              <w:spacing w:line="240" w:lineRule="auto"/>
              <w:ind w:firstLine="0" w:firstLineChars="0"/>
              <w:jc w:val="left"/>
              <w:rPr>
                <w:bCs/>
                <w:sz w:val="24"/>
                <w:szCs w:val="24"/>
              </w:rPr>
            </w:pPr>
            <w:r>
              <w:rPr>
                <w:rFonts w:hint="eastAsia"/>
                <w:bCs/>
                <w:sz w:val="24"/>
                <w:szCs w:val="24"/>
              </w:rPr>
              <w:t>□否</w:t>
            </w:r>
          </w:p>
        </w:tc>
        <w:tc>
          <w:tcPr>
            <w:tcW w:w="850" w:type="dxa"/>
            <w:vAlign w:val="center"/>
          </w:tcPr>
          <w:p>
            <w:pPr>
              <w:overflowPunct w:val="0"/>
              <w:spacing w:line="240" w:lineRule="auto"/>
              <w:ind w:firstLine="0" w:firstLineChars="0"/>
              <w:jc w:val="left"/>
              <w:rPr>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3" w:hRule="atLeast"/>
          <w:jc w:val="center"/>
        </w:trPr>
        <w:tc>
          <w:tcPr>
            <w:tcW w:w="9067" w:type="dxa"/>
            <w:gridSpan w:val="5"/>
            <w:tcBorders>
              <w:left w:val="single" w:color="000000" w:sz="4" w:space="0"/>
              <w:bottom w:val="single" w:color="000000" w:sz="4" w:space="0"/>
              <w:right w:val="single" w:color="000000" w:sz="4" w:space="0"/>
            </w:tcBorders>
            <w:vAlign w:val="center"/>
          </w:tcPr>
          <w:p>
            <w:pPr>
              <w:overflowPunct w:val="0"/>
              <w:spacing w:line="560" w:lineRule="exact"/>
              <w:ind w:firstLine="0" w:firstLineChars="0"/>
              <w:jc w:val="center"/>
              <w:rPr>
                <w:rFonts w:eastAsia="黑体"/>
                <w:bCs/>
                <w:sz w:val="24"/>
                <w:szCs w:val="24"/>
              </w:rPr>
            </w:pPr>
            <w:r>
              <w:rPr>
                <w:rFonts w:hint="eastAsia" w:eastAsia="黑体"/>
                <w:bCs/>
                <w:sz w:val="24"/>
                <w:szCs w:val="24"/>
              </w:rPr>
              <w:t>三</w:t>
            </w:r>
            <w:r>
              <w:rPr>
                <w:rFonts w:eastAsia="黑体"/>
                <w:bCs/>
                <w:sz w:val="24"/>
                <w:szCs w:val="24"/>
              </w:rPr>
              <w:t>、申</w:t>
            </w:r>
            <w:r>
              <w:rPr>
                <w:rFonts w:hint="eastAsia" w:eastAsia="黑体"/>
                <w:bCs/>
                <w:sz w:val="24"/>
                <w:szCs w:val="24"/>
              </w:rPr>
              <w:t>报</w:t>
            </w:r>
            <w:r>
              <w:rPr>
                <w:rFonts w:eastAsia="黑体"/>
                <w:bCs/>
                <w:sz w:val="24"/>
                <w:szCs w:val="24"/>
              </w:rPr>
              <w:t>材料真实性承诺</w:t>
            </w:r>
          </w:p>
          <w:p>
            <w:pPr>
              <w:overflowPunct w:val="0"/>
              <w:spacing w:line="240" w:lineRule="auto"/>
              <w:ind w:firstLine="0" w:firstLineChars="0"/>
              <w:jc w:val="left"/>
              <w:rPr>
                <w:sz w:val="24"/>
                <w:szCs w:val="24"/>
              </w:rPr>
            </w:pPr>
            <w:r>
              <w:rPr>
                <w:sz w:val="24"/>
                <w:szCs w:val="24"/>
              </w:rPr>
              <w:t>1</w:t>
            </w:r>
            <w:r>
              <w:rPr>
                <w:rFonts w:hint="eastAsia"/>
                <w:sz w:val="24"/>
                <w:szCs w:val="24"/>
              </w:rPr>
              <w:t>、本申请遵守国家相关法律、法规和规章的规定。</w:t>
            </w:r>
          </w:p>
          <w:p>
            <w:pPr>
              <w:overflowPunct w:val="0"/>
              <w:spacing w:line="240" w:lineRule="auto"/>
              <w:ind w:firstLine="0" w:firstLineChars="0"/>
              <w:jc w:val="left"/>
              <w:rPr>
                <w:sz w:val="24"/>
                <w:szCs w:val="24"/>
              </w:rPr>
            </w:pPr>
            <w:r>
              <w:rPr>
                <w:sz w:val="24"/>
                <w:szCs w:val="24"/>
              </w:rPr>
              <w:t>2</w:t>
            </w:r>
            <w:r>
              <w:rPr>
                <w:rFonts w:hint="eastAsia"/>
                <w:sz w:val="24"/>
                <w:szCs w:val="24"/>
              </w:rPr>
              <w:t>、本自查表及所提交的申报资料均真实、来源合法、译文准确。</w:t>
            </w:r>
          </w:p>
          <w:p>
            <w:pPr>
              <w:overflowPunct w:val="0"/>
              <w:spacing w:line="240" w:lineRule="auto"/>
              <w:ind w:firstLine="0" w:firstLineChars="0"/>
              <w:jc w:val="left"/>
              <w:rPr>
                <w:sz w:val="24"/>
                <w:szCs w:val="24"/>
              </w:rPr>
            </w:pPr>
            <w:r>
              <w:rPr>
                <w:sz w:val="24"/>
                <w:szCs w:val="24"/>
              </w:rPr>
              <w:t>3</w:t>
            </w:r>
            <w:r>
              <w:rPr>
                <w:rFonts w:hint="eastAsia"/>
                <w:sz w:val="24"/>
                <w:szCs w:val="24"/>
              </w:rPr>
              <w:t>、所提交的申报资料与项目清单内容完全一致。</w:t>
            </w:r>
          </w:p>
          <w:p>
            <w:pPr>
              <w:overflowPunct w:val="0"/>
              <w:spacing w:line="240" w:lineRule="auto"/>
              <w:ind w:firstLine="0" w:firstLineChars="0"/>
              <w:jc w:val="left"/>
              <w:rPr>
                <w:sz w:val="24"/>
                <w:szCs w:val="24"/>
              </w:rPr>
            </w:pPr>
            <w:r>
              <w:rPr>
                <w:sz w:val="24"/>
                <w:szCs w:val="24"/>
              </w:rPr>
              <w:t>4</w:t>
            </w:r>
            <w:r>
              <w:rPr>
                <w:rFonts w:hint="eastAsia"/>
                <w:sz w:val="24"/>
                <w:szCs w:val="24"/>
              </w:rPr>
              <w:t>、所提交的复印件与原件内容完全一致。</w:t>
            </w:r>
          </w:p>
          <w:p>
            <w:pPr>
              <w:overflowPunct w:val="0"/>
              <w:spacing w:line="240" w:lineRule="auto"/>
              <w:ind w:firstLine="0" w:firstLineChars="0"/>
              <w:jc w:val="left"/>
              <w:rPr>
                <w:sz w:val="24"/>
                <w:szCs w:val="24"/>
              </w:rPr>
            </w:pPr>
            <w:r>
              <w:rPr>
                <w:sz w:val="24"/>
                <w:szCs w:val="24"/>
              </w:rPr>
              <w:t>5</w:t>
            </w:r>
            <w:r>
              <w:rPr>
                <w:rFonts w:hint="eastAsia"/>
                <w:sz w:val="24"/>
                <w:szCs w:val="24"/>
              </w:rPr>
              <w:t>、所提交的电子文件与纸质文件内容完全一致。</w:t>
            </w:r>
          </w:p>
          <w:p>
            <w:pPr>
              <w:overflowPunct w:val="0"/>
              <w:spacing w:line="240" w:lineRule="auto"/>
              <w:ind w:firstLine="0" w:firstLineChars="0"/>
              <w:jc w:val="left"/>
              <w:rPr>
                <w:sz w:val="24"/>
                <w:szCs w:val="24"/>
              </w:rPr>
            </w:pPr>
            <w:r>
              <w:rPr>
                <w:sz w:val="24"/>
                <w:szCs w:val="24"/>
              </w:rPr>
              <w:t>6</w:t>
            </w:r>
            <w:r>
              <w:rPr>
                <w:rFonts w:hint="eastAsia"/>
                <w:sz w:val="24"/>
                <w:szCs w:val="24"/>
              </w:rPr>
              <w:t>、保证按要求在国家局药品审评中心网站及时上传相关电子资料。</w:t>
            </w:r>
          </w:p>
          <w:p>
            <w:pPr>
              <w:overflowPunct w:val="0"/>
              <w:spacing w:line="240" w:lineRule="auto"/>
              <w:ind w:firstLine="0" w:firstLineChars="0"/>
              <w:jc w:val="left"/>
              <w:rPr>
                <w:sz w:val="24"/>
                <w:szCs w:val="24"/>
              </w:rPr>
            </w:pPr>
            <w:r>
              <w:rPr>
                <w:sz w:val="24"/>
                <w:szCs w:val="24"/>
              </w:rPr>
              <w:t>7</w:t>
            </w:r>
            <w:r>
              <w:rPr>
                <w:rFonts w:hint="eastAsia"/>
                <w:sz w:val="24"/>
                <w:szCs w:val="24"/>
              </w:rPr>
              <w:t>、如有虚假，申请人本单位愿意承担相应法律责任。</w:t>
            </w:r>
          </w:p>
          <w:p>
            <w:pPr>
              <w:overflowPunct w:val="0"/>
              <w:spacing w:line="560" w:lineRule="exact"/>
              <w:ind w:firstLine="0" w:firstLineChars="0"/>
              <w:jc w:val="left"/>
              <w:rPr>
                <w:bCs/>
                <w:sz w:val="24"/>
                <w:szCs w:val="24"/>
              </w:rPr>
            </w:pPr>
            <w:r>
              <w:rPr>
                <w:rFonts w:hint="eastAsia"/>
                <w:bCs/>
                <w:sz w:val="24"/>
                <w:szCs w:val="24"/>
              </w:rPr>
              <w:t>负责人（签字）</w:t>
            </w:r>
            <w:r>
              <w:rPr>
                <w:bCs/>
                <w:sz w:val="24"/>
                <w:szCs w:val="24"/>
              </w:rPr>
              <w:t xml:space="preserve">                       </w:t>
            </w:r>
            <w:r>
              <w:rPr>
                <w:rFonts w:hint="eastAsia"/>
                <w:bCs/>
                <w:sz w:val="24"/>
                <w:szCs w:val="24"/>
              </w:rPr>
              <w:t>申请人（公章）</w:t>
            </w:r>
          </w:p>
          <w:p>
            <w:pPr>
              <w:overflowPunct w:val="0"/>
              <w:spacing w:line="560" w:lineRule="exact"/>
              <w:ind w:firstLine="0" w:firstLineChars="0"/>
              <w:jc w:val="left"/>
              <w:rPr>
                <w:bCs/>
                <w:sz w:val="24"/>
                <w:szCs w:val="24"/>
              </w:rPr>
            </w:pPr>
          </w:p>
          <w:p>
            <w:pPr>
              <w:overflowPunct w:val="0"/>
              <w:spacing w:line="560" w:lineRule="exact"/>
              <w:ind w:firstLine="0" w:firstLineChars="0"/>
              <w:jc w:val="left"/>
              <w:rPr>
                <w:bCs/>
                <w:sz w:val="24"/>
                <w:szCs w:val="24"/>
              </w:rPr>
            </w:pPr>
          </w:p>
          <w:p>
            <w:pPr>
              <w:overflowPunct w:val="0"/>
              <w:spacing w:line="560" w:lineRule="exact"/>
              <w:ind w:firstLine="0" w:firstLineChars="0"/>
              <w:jc w:val="left"/>
              <w:rPr>
                <w:sz w:val="24"/>
                <w:szCs w:val="24"/>
              </w:rPr>
            </w:pPr>
            <w:r>
              <w:rPr>
                <w:rFonts w:hint="eastAsia"/>
                <w:bCs/>
                <w:sz w:val="24"/>
                <w:szCs w:val="24"/>
              </w:rPr>
              <w:t>年</w:t>
            </w:r>
            <w:r>
              <w:rPr>
                <w:bCs/>
                <w:sz w:val="24"/>
                <w:szCs w:val="24"/>
              </w:rPr>
              <w:t xml:space="preserve">   </w:t>
            </w:r>
            <w:r>
              <w:rPr>
                <w:rFonts w:hint="eastAsia"/>
                <w:bCs/>
                <w:sz w:val="24"/>
                <w:szCs w:val="24"/>
              </w:rPr>
              <w:t>月</w:t>
            </w:r>
            <w:r>
              <w:rPr>
                <w:bCs/>
                <w:sz w:val="24"/>
                <w:szCs w:val="24"/>
              </w:rPr>
              <w:t xml:space="preserve">   </w:t>
            </w:r>
            <w:r>
              <w:rPr>
                <w:rFonts w:hint="eastAsia"/>
                <w:bCs/>
                <w:sz w:val="24"/>
                <w:szCs w:val="24"/>
              </w:rPr>
              <w:t>日</w:t>
            </w:r>
          </w:p>
        </w:tc>
      </w:tr>
    </w:tbl>
    <w:p>
      <w:pPr>
        <w:pStyle w:val="3"/>
        <w:tabs>
          <w:tab w:val="left" w:pos="420"/>
        </w:tabs>
        <w:spacing w:line="560" w:lineRule="exact"/>
        <w:ind w:firstLine="0" w:firstLineChars="0"/>
        <w:rPr>
          <w:rFonts w:hint="eastAsia" w:eastAsia="黑体"/>
        </w:rPr>
      </w:pPr>
      <w:bookmarkStart w:id="35" w:name="_Toc38271421"/>
    </w:p>
    <w:p>
      <w:pPr>
        <w:rPr>
          <w:rFonts w:hint="eastAsia" w:eastAsia="黑体"/>
        </w:rPr>
      </w:pPr>
      <w:r>
        <w:rPr>
          <w:rFonts w:hint="eastAsia" w:eastAsia="黑体"/>
        </w:rPr>
        <w:br w:type="page"/>
      </w:r>
    </w:p>
    <w:p>
      <w:pPr>
        <w:pStyle w:val="3"/>
        <w:tabs>
          <w:tab w:val="left" w:pos="420"/>
        </w:tabs>
        <w:spacing w:line="560" w:lineRule="exact"/>
        <w:ind w:firstLine="0" w:firstLineChars="0"/>
        <w:rPr>
          <w:rFonts w:hint="eastAsia" w:ascii="黑体" w:hAnsi="黑体" w:eastAsia="黑体" w:cs="黑体"/>
        </w:rPr>
      </w:pPr>
      <w:r>
        <w:rPr>
          <w:rFonts w:hint="eastAsia" w:ascii="黑体" w:hAnsi="黑体" w:eastAsia="黑体" w:cs="黑体"/>
        </w:rPr>
        <w:t>附件2</w:t>
      </w:r>
      <w:bookmarkEnd w:id="35"/>
    </w:p>
    <w:p>
      <w:pPr>
        <w:rPr>
          <w:rFonts w:hint="eastAsia"/>
        </w:rPr>
      </w:pPr>
    </w:p>
    <w:p>
      <w:pPr>
        <w:pStyle w:val="3"/>
        <w:keepNext w:val="0"/>
        <w:keepLines w:val="0"/>
        <w:tabs>
          <w:tab w:val="left" w:pos="420"/>
        </w:tabs>
        <w:overflowPunct w:val="0"/>
        <w:adjustRightInd w:val="0"/>
        <w:snapToGrid w:val="0"/>
        <w:spacing w:line="560" w:lineRule="exact"/>
        <w:ind w:firstLine="0" w:firstLineChars="0"/>
        <w:jc w:val="center"/>
        <w:rPr>
          <w:rFonts w:ascii="方正小标宋简体" w:hAnsi="方正小标宋简体" w:eastAsia="方正小标宋简体" w:cs="方正小标宋简体"/>
          <w:color w:val="000000"/>
          <w:kern w:val="0"/>
          <w:sz w:val="44"/>
          <w:szCs w:val="44"/>
        </w:rPr>
      </w:pPr>
      <w:bookmarkStart w:id="36" w:name="_Toc38271422"/>
      <w:r>
        <w:rPr>
          <w:rFonts w:hint="eastAsia" w:ascii="方正小标宋简体" w:hAnsi="方正小标宋简体" w:eastAsia="方正小标宋简体" w:cs="方正小标宋简体"/>
          <w:color w:val="000000"/>
          <w:kern w:val="0"/>
          <w:sz w:val="44"/>
          <w:szCs w:val="44"/>
        </w:rPr>
        <w:t>参考目录</w:t>
      </w:r>
      <w:bookmarkEnd w:id="36"/>
    </w:p>
    <w:p>
      <w:pPr>
        <w:pStyle w:val="3"/>
        <w:keepNext w:val="0"/>
        <w:keepLines w:val="0"/>
        <w:tabs>
          <w:tab w:val="left" w:pos="420"/>
        </w:tabs>
        <w:overflowPunct w:val="0"/>
        <w:adjustRightInd w:val="0"/>
        <w:snapToGrid w:val="0"/>
        <w:spacing w:line="560" w:lineRule="exact"/>
        <w:ind w:firstLine="0" w:firstLineChars="0"/>
        <w:jc w:val="center"/>
        <w:rPr>
          <w:rFonts w:ascii="方正小标宋简体" w:hAnsi="方正小标宋简体" w:eastAsia="方正小标宋简体" w:cs="方正小标宋简体"/>
          <w:color w:val="000000"/>
          <w:kern w:val="0"/>
          <w:sz w:val="44"/>
          <w:szCs w:val="44"/>
        </w:rPr>
      </w:pPr>
    </w:p>
    <w:p>
      <w:pPr>
        <w:spacing w:line="560" w:lineRule="exact"/>
        <w:ind w:firstLine="640"/>
      </w:pPr>
      <w:r>
        <w:t>1</w:t>
      </w:r>
      <w:r>
        <w:rPr>
          <w:rFonts w:hint="eastAsia" w:ascii="仿宋_GB2312" w:cs="宋体"/>
          <w:kern w:val="0"/>
        </w:rPr>
        <w:t>．</w:t>
      </w:r>
      <w:r>
        <w:rPr>
          <w:rFonts w:hint="eastAsia"/>
        </w:rPr>
        <w:t>《药品注册管理办法》（总局令27号）</w:t>
      </w:r>
    </w:p>
    <w:p>
      <w:pPr>
        <w:spacing w:line="560" w:lineRule="exact"/>
        <w:ind w:firstLine="640"/>
      </w:pPr>
      <w:r>
        <w:t>2</w:t>
      </w:r>
      <w:r>
        <w:rPr>
          <w:rFonts w:hint="eastAsia" w:ascii="仿宋_GB2312" w:cs="宋体"/>
          <w:kern w:val="0"/>
        </w:rPr>
        <w:t>．</w:t>
      </w:r>
      <w:r>
        <w:rPr>
          <w:rFonts w:hint="eastAsia"/>
        </w:rPr>
        <w:t>《已上市化学药品变更事项及申报资料要求》</w:t>
      </w:r>
    </w:p>
    <w:p>
      <w:pPr>
        <w:spacing w:line="560" w:lineRule="exact"/>
        <w:ind w:firstLine="640"/>
      </w:pPr>
      <w:r>
        <w:t>3</w:t>
      </w:r>
      <w:r>
        <w:rPr>
          <w:rFonts w:hint="eastAsia" w:ascii="仿宋_GB2312" w:cs="宋体"/>
          <w:kern w:val="0"/>
        </w:rPr>
        <w:t>．</w:t>
      </w:r>
      <w:r>
        <w:rPr>
          <w:rFonts w:hint="eastAsia"/>
        </w:rPr>
        <w:t>《已上市药品临床变更技术指导原则》</w:t>
      </w:r>
    </w:p>
    <w:p>
      <w:pPr>
        <w:spacing w:line="560" w:lineRule="exact"/>
        <w:ind w:firstLine="640"/>
      </w:pPr>
      <w:r>
        <w:t>4</w:t>
      </w:r>
      <w:r>
        <w:rPr>
          <w:rFonts w:hint="eastAsia" w:ascii="仿宋_GB2312" w:cs="宋体"/>
          <w:kern w:val="0"/>
        </w:rPr>
        <w:t>．</w:t>
      </w:r>
      <w:r>
        <w:rPr>
          <w:rFonts w:hint="eastAsia"/>
        </w:rPr>
        <w:t>《已上市化学药品药学变更研究技术指导原则》</w:t>
      </w:r>
    </w:p>
    <w:p>
      <w:pPr>
        <w:spacing w:line="560" w:lineRule="exact"/>
        <w:ind w:firstLine="640"/>
      </w:pPr>
      <w:r>
        <w:rPr>
          <w:rFonts w:hint="eastAsia"/>
        </w:rPr>
        <w:t>5</w:t>
      </w:r>
      <w:r>
        <w:rPr>
          <w:rFonts w:hint="eastAsia" w:ascii="仿宋_GB2312" w:cs="宋体"/>
          <w:kern w:val="0"/>
        </w:rPr>
        <w:t>．</w:t>
      </w:r>
      <w:r>
        <w:rPr>
          <w:rFonts w:hint="eastAsia"/>
        </w:rPr>
        <w:t>《关于取消36项证明事项的公告》（2019年第34号）</w:t>
      </w:r>
    </w:p>
    <w:p>
      <w:pPr>
        <w:spacing w:line="560" w:lineRule="exact"/>
        <w:ind w:firstLine="640"/>
      </w:pPr>
      <w:r>
        <w:rPr>
          <w:rFonts w:hint="eastAsia"/>
        </w:rPr>
        <w:t>6</w:t>
      </w:r>
      <w:r>
        <w:rPr>
          <w:rFonts w:hint="eastAsia" w:ascii="仿宋_GB2312" w:cs="宋体"/>
          <w:kern w:val="0"/>
        </w:rPr>
        <w:t>．</w:t>
      </w:r>
      <w:r>
        <w:rPr>
          <w:rFonts w:hint="eastAsia"/>
        </w:rPr>
        <w:t>《关于取消16项证明事项的公告（第二批）》（2019年第55号）</w:t>
      </w:r>
    </w:p>
    <w:p>
      <w:pPr>
        <w:spacing w:line="560" w:lineRule="exact"/>
        <w:ind w:firstLine="640"/>
      </w:pPr>
      <w:r>
        <w:rPr>
          <w:rFonts w:hint="eastAsia"/>
        </w:rPr>
        <w:t>7</w:t>
      </w:r>
      <w:r>
        <w:rPr>
          <w:rFonts w:hint="eastAsia" w:ascii="仿宋_GB2312" w:cs="宋体"/>
          <w:kern w:val="0"/>
        </w:rPr>
        <w:t>．</w:t>
      </w:r>
      <w:r>
        <w:rPr>
          <w:rFonts w:hint="eastAsia"/>
        </w:rPr>
        <w:t>《关于取消68项证明事项的公告（第三批）》(2019年第102号)</w:t>
      </w:r>
    </w:p>
    <w:sectPr>
      <w:footerReference r:id="rId10" w:type="default"/>
      <w:pgSz w:w="11906" w:h="16838"/>
      <w:pgMar w:top="1928" w:right="1531" w:bottom="1814" w:left="1531" w:header="851" w:footer="992" w:gutter="0"/>
      <w:pgNumType w:start="1"/>
      <w:cols w:space="0" w:num="1"/>
      <w:rtlGutter w:val="0"/>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p>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jc w:val="center"/>
    </w:pPr>
    <w:r>
      <w:fldChar w:fldCharType="begin"/>
    </w:r>
    <w:r>
      <w:instrText xml:space="preserve"> PAGE  \* MERGEFORMAT </w:instrText>
    </w:r>
    <w:r>
      <w:fldChar w:fldCharType="separate"/>
    </w:r>
    <w:r>
      <w:t>11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FFFFFF" w:sz="6"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1"/>
  <w:bordersDoNotSurroundFooter w:val="1"/>
  <w:documentProtection w:enforcement="0"/>
  <w:defaultTabStop w:val="420"/>
  <w:drawingGridVerticalSpacing w:val="218"/>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7B6"/>
    <w:rsid w:val="00005BAA"/>
    <w:rsid w:val="00010499"/>
    <w:rsid w:val="00011A54"/>
    <w:rsid w:val="00011F38"/>
    <w:rsid w:val="00013F92"/>
    <w:rsid w:val="000145F4"/>
    <w:rsid w:val="00022374"/>
    <w:rsid w:val="00022896"/>
    <w:rsid w:val="00027E16"/>
    <w:rsid w:val="00033410"/>
    <w:rsid w:val="000343D4"/>
    <w:rsid w:val="00035792"/>
    <w:rsid w:val="00035F1C"/>
    <w:rsid w:val="0003737A"/>
    <w:rsid w:val="00041489"/>
    <w:rsid w:val="00042A7D"/>
    <w:rsid w:val="00044408"/>
    <w:rsid w:val="000469E4"/>
    <w:rsid w:val="00047440"/>
    <w:rsid w:val="00050F31"/>
    <w:rsid w:val="00051839"/>
    <w:rsid w:val="0005412A"/>
    <w:rsid w:val="00055C61"/>
    <w:rsid w:val="000567CD"/>
    <w:rsid w:val="0006063D"/>
    <w:rsid w:val="00063FC6"/>
    <w:rsid w:val="000647C2"/>
    <w:rsid w:val="00070614"/>
    <w:rsid w:val="000750D8"/>
    <w:rsid w:val="0007608F"/>
    <w:rsid w:val="000762DF"/>
    <w:rsid w:val="00080FB5"/>
    <w:rsid w:val="0008229D"/>
    <w:rsid w:val="00083346"/>
    <w:rsid w:val="00084759"/>
    <w:rsid w:val="00086D97"/>
    <w:rsid w:val="0009085A"/>
    <w:rsid w:val="000919A0"/>
    <w:rsid w:val="0009555B"/>
    <w:rsid w:val="00097C29"/>
    <w:rsid w:val="000A1C8C"/>
    <w:rsid w:val="000A21EC"/>
    <w:rsid w:val="000A4F27"/>
    <w:rsid w:val="000A56B1"/>
    <w:rsid w:val="000A6765"/>
    <w:rsid w:val="000A68A1"/>
    <w:rsid w:val="000B3D78"/>
    <w:rsid w:val="000C388F"/>
    <w:rsid w:val="000C4E05"/>
    <w:rsid w:val="000C7A10"/>
    <w:rsid w:val="000D49E4"/>
    <w:rsid w:val="000D7D9E"/>
    <w:rsid w:val="000E007C"/>
    <w:rsid w:val="000E156D"/>
    <w:rsid w:val="000E58A4"/>
    <w:rsid w:val="000E5A0D"/>
    <w:rsid w:val="000E7281"/>
    <w:rsid w:val="000F184F"/>
    <w:rsid w:val="00100303"/>
    <w:rsid w:val="001016B0"/>
    <w:rsid w:val="001037E6"/>
    <w:rsid w:val="00104C27"/>
    <w:rsid w:val="0010519B"/>
    <w:rsid w:val="00105389"/>
    <w:rsid w:val="00105515"/>
    <w:rsid w:val="0010586F"/>
    <w:rsid w:val="00105D61"/>
    <w:rsid w:val="00106A7B"/>
    <w:rsid w:val="00107DCA"/>
    <w:rsid w:val="00110CBB"/>
    <w:rsid w:val="001127D3"/>
    <w:rsid w:val="001141E2"/>
    <w:rsid w:val="0012104E"/>
    <w:rsid w:val="001220AA"/>
    <w:rsid w:val="001246D4"/>
    <w:rsid w:val="00136681"/>
    <w:rsid w:val="001372F0"/>
    <w:rsid w:val="00142554"/>
    <w:rsid w:val="00145147"/>
    <w:rsid w:val="00145F0F"/>
    <w:rsid w:val="00146C17"/>
    <w:rsid w:val="001473CA"/>
    <w:rsid w:val="00150EE6"/>
    <w:rsid w:val="00153471"/>
    <w:rsid w:val="0015428D"/>
    <w:rsid w:val="00156F72"/>
    <w:rsid w:val="00157A4E"/>
    <w:rsid w:val="00157CF6"/>
    <w:rsid w:val="001601CB"/>
    <w:rsid w:val="0016326D"/>
    <w:rsid w:val="00165BD8"/>
    <w:rsid w:val="001774F3"/>
    <w:rsid w:val="0018321E"/>
    <w:rsid w:val="00187377"/>
    <w:rsid w:val="001A2011"/>
    <w:rsid w:val="001A2256"/>
    <w:rsid w:val="001A233A"/>
    <w:rsid w:val="001A2767"/>
    <w:rsid w:val="001A47C2"/>
    <w:rsid w:val="001A6E2F"/>
    <w:rsid w:val="001A70F0"/>
    <w:rsid w:val="001B16AB"/>
    <w:rsid w:val="001B2F55"/>
    <w:rsid w:val="001B74C9"/>
    <w:rsid w:val="001C1767"/>
    <w:rsid w:val="001C375F"/>
    <w:rsid w:val="001D019A"/>
    <w:rsid w:val="001D4699"/>
    <w:rsid w:val="001E0576"/>
    <w:rsid w:val="001E5BE3"/>
    <w:rsid w:val="001E6CF3"/>
    <w:rsid w:val="001F02BA"/>
    <w:rsid w:val="001F096C"/>
    <w:rsid w:val="001F0AA6"/>
    <w:rsid w:val="001F1D82"/>
    <w:rsid w:val="001F4D8A"/>
    <w:rsid w:val="002030BB"/>
    <w:rsid w:val="002056AE"/>
    <w:rsid w:val="00205C3E"/>
    <w:rsid w:val="00206BEB"/>
    <w:rsid w:val="0021040B"/>
    <w:rsid w:val="00212521"/>
    <w:rsid w:val="00214824"/>
    <w:rsid w:val="00216CA6"/>
    <w:rsid w:val="0021791F"/>
    <w:rsid w:val="00222382"/>
    <w:rsid w:val="002228DD"/>
    <w:rsid w:val="00224B47"/>
    <w:rsid w:val="00224BBB"/>
    <w:rsid w:val="00226DF8"/>
    <w:rsid w:val="002300CE"/>
    <w:rsid w:val="002323B9"/>
    <w:rsid w:val="00233A8C"/>
    <w:rsid w:val="00234120"/>
    <w:rsid w:val="002361DB"/>
    <w:rsid w:val="00236A5D"/>
    <w:rsid w:val="002420C4"/>
    <w:rsid w:val="0024366C"/>
    <w:rsid w:val="00243A0F"/>
    <w:rsid w:val="00244AC6"/>
    <w:rsid w:val="002500D4"/>
    <w:rsid w:val="00251C79"/>
    <w:rsid w:val="002522A2"/>
    <w:rsid w:val="00253E13"/>
    <w:rsid w:val="00253FCF"/>
    <w:rsid w:val="00256BA7"/>
    <w:rsid w:val="002617E0"/>
    <w:rsid w:val="002676BA"/>
    <w:rsid w:val="0027096C"/>
    <w:rsid w:val="002831AC"/>
    <w:rsid w:val="002904C0"/>
    <w:rsid w:val="002912ED"/>
    <w:rsid w:val="00292411"/>
    <w:rsid w:val="002967A3"/>
    <w:rsid w:val="002A08DD"/>
    <w:rsid w:val="002A17E5"/>
    <w:rsid w:val="002A2222"/>
    <w:rsid w:val="002A2326"/>
    <w:rsid w:val="002A25E1"/>
    <w:rsid w:val="002A2CD5"/>
    <w:rsid w:val="002A4665"/>
    <w:rsid w:val="002A6CE6"/>
    <w:rsid w:val="002A72EA"/>
    <w:rsid w:val="002C2C3B"/>
    <w:rsid w:val="002C4746"/>
    <w:rsid w:val="002C47F6"/>
    <w:rsid w:val="002C66A8"/>
    <w:rsid w:val="002C6BDA"/>
    <w:rsid w:val="002D0B71"/>
    <w:rsid w:val="002D421B"/>
    <w:rsid w:val="002D471B"/>
    <w:rsid w:val="002E279B"/>
    <w:rsid w:val="002E2C4A"/>
    <w:rsid w:val="002E5124"/>
    <w:rsid w:val="002E6C9A"/>
    <w:rsid w:val="002F12CC"/>
    <w:rsid w:val="002F137B"/>
    <w:rsid w:val="002F273D"/>
    <w:rsid w:val="002F4467"/>
    <w:rsid w:val="00302210"/>
    <w:rsid w:val="00305C9F"/>
    <w:rsid w:val="0030736D"/>
    <w:rsid w:val="003144F4"/>
    <w:rsid w:val="00314796"/>
    <w:rsid w:val="00316E67"/>
    <w:rsid w:val="003269E1"/>
    <w:rsid w:val="00327B3D"/>
    <w:rsid w:val="00336949"/>
    <w:rsid w:val="00337ECA"/>
    <w:rsid w:val="00341F54"/>
    <w:rsid w:val="00343C04"/>
    <w:rsid w:val="003476FA"/>
    <w:rsid w:val="00347BA7"/>
    <w:rsid w:val="0035607A"/>
    <w:rsid w:val="003577BB"/>
    <w:rsid w:val="00360338"/>
    <w:rsid w:val="0036148D"/>
    <w:rsid w:val="003629F6"/>
    <w:rsid w:val="003644D7"/>
    <w:rsid w:val="00366700"/>
    <w:rsid w:val="00367488"/>
    <w:rsid w:val="003717BC"/>
    <w:rsid w:val="00373431"/>
    <w:rsid w:val="00381948"/>
    <w:rsid w:val="00381AC8"/>
    <w:rsid w:val="00383A03"/>
    <w:rsid w:val="003859F3"/>
    <w:rsid w:val="00386986"/>
    <w:rsid w:val="00387A30"/>
    <w:rsid w:val="003907D9"/>
    <w:rsid w:val="00392328"/>
    <w:rsid w:val="0039330D"/>
    <w:rsid w:val="00394191"/>
    <w:rsid w:val="003954ED"/>
    <w:rsid w:val="003A1F10"/>
    <w:rsid w:val="003A2E37"/>
    <w:rsid w:val="003A3A88"/>
    <w:rsid w:val="003A4297"/>
    <w:rsid w:val="003A4732"/>
    <w:rsid w:val="003A475F"/>
    <w:rsid w:val="003A4D29"/>
    <w:rsid w:val="003A52CD"/>
    <w:rsid w:val="003B025D"/>
    <w:rsid w:val="003B06AD"/>
    <w:rsid w:val="003B3BC7"/>
    <w:rsid w:val="003C1938"/>
    <w:rsid w:val="003C2D8F"/>
    <w:rsid w:val="003C374B"/>
    <w:rsid w:val="003D00C9"/>
    <w:rsid w:val="003D08EE"/>
    <w:rsid w:val="003D0C54"/>
    <w:rsid w:val="003D2187"/>
    <w:rsid w:val="003D492D"/>
    <w:rsid w:val="003D4B74"/>
    <w:rsid w:val="003D6316"/>
    <w:rsid w:val="003E11D0"/>
    <w:rsid w:val="003E1D24"/>
    <w:rsid w:val="003E20F9"/>
    <w:rsid w:val="003E310A"/>
    <w:rsid w:val="003E5F7D"/>
    <w:rsid w:val="003F2ABE"/>
    <w:rsid w:val="003F71F6"/>
    <w:rsid w:val="00400249"/>
    <w:rsid w:val="00401D2B"/>
    <w:rsid w:val="00401E96"/>
    <w:rsid w:val="0040301B"/>
    <w:rsid w:val="00412E3B"/>
    <w:rsid w:val="004147BD"/>
    <w:rsid w:val="00415AE1"/>
    <w:rsid w:val="004255B1"/>
    <w:rsid w:val="00427C4F"/>
    <w:rsid w:val="00431E3A"/>
    <w:rsid w:val="004353F5"/>
    <w:rsid w:val="004363CB"/>
    <w:rsid w:val="0044058B"/>
    <w:rsid w:val="00441F80"/>
    <w:rsid w:val="004437DE"/>
    <w:rsid w:val="00444929"/>
    <w:rsid w:val="00447D58"/>
    <w:rsid w:val="00451B87"/>
    <w:rsid w:val="00452A52"/>
    <w:rsid w:val="00454C94"/>
    <w:rsid w:val="0045694E"/>
    <w:rsid w:val="00457D1F"/>
    <w:rsid w:val="00460526"/>
    <w:rsid w:val="004607D1"/>
    <w:rsid w:val="004675C5"/>
    <w:rsid w:val="004675D7"/>
    <w:rsid w:val="004751A6"/>
    <w:rsid w:val="0048082E"/>
    <w:rsid w:val="004830F5"/>
    <w:rsid w:val="00484586"/>
    <w:rsid w:val="004913FE"/>
    <w:rsid w:val="00491B7E"/>
    <w:rsid w:val="00492A79"/>
    <w:rsid w:val="004A2793"/>
    <w:rsid w:val="004A2D50"/>
    <w:rsid w:val="004A448A"/>
    <w:rsid w:val="004A4FF1"/>
    <w:rsid w:val="004A6830"/>
    <w:rsid w:val="004B3624"/>
    <w:rsid w:val="004B7F02"/>
    <w:rsid w:val="004C085B"/>
    <w:rsid w:val="004C0E4B"/>
    <w:rsid w:val="004C3D04"/>
    <w:rsid w:val="004C4545"/>
    <w:rsid w:val="004C4926"/>
    <w:rsid w:val="004C6415"/>
    <w:rsid w:val="004C771F"/>
    <w:rsid w:val="004D6F81"/>
    <w:rsid w:val="004E3277"/>
    <w:rsid w:val="004F20F5"/>
    <w:rsid w:val="004F22D0"/>
    <w:rsid w:val="004F2D06"/>
    <w:rsid w:val="004F43ED"/>
    <w:rsid w:val="004F7054"/>
    <w:rsid w:val="0050041F"/>
    <w:rsid w:val="00500EB7"/>
    <w:rsid w:val="0050295A"/>
    <w:rsid w:val="00503FFF"/>
    <w:rsid w:val="0050568E"/>
    <w:rsid w:val="00514F9D"/>
    <w:rsid w:val="005169D8"/>
    <w:rsid w:val="00521C36"/>
    <w:rsid w:val="00522E31"/>
    <w:rsid w:val="00523C07"/>
    <w:rsid w:val="0053147A"/>
    <w:rsid w:val="00531D50"/>
    <w:rsid w:val="0054117F"/>
    <w:rsid w:val="0054326A"/>
    <w:rsid w:val="00544190"/>
    <w:rsid w:val="0055293D"/>
    <w:rsid w:val="00554216"/>
    <w:rsid w:val="005602E5"/>
    <w:rsid w:val="00560755"/>
    <w:rsid w:val="005624B6"/>
    <w:rsid w:val="00564CF7"/>
    <w:rsid w:val="00570AB7"/>
    <w:rsid w:val="005746F2"/>
    <w:rsid w:val="00576A7F"/>
    <w:rsid w:val="005776B6"/>
    <w:rsid w:val="00577CD7"/>
    <w:rsid w:val="00580CCB"/>
    <w:rsid w:val="00582062"/>
    <w:rsid w:val="00582C83"/>
    <w:rsid w:val="005830FF"/>
    <w:rsid w:val="00585CBA"/>
    <w:rsid w:val="0058617B"/>
    <w:rsid w:val="0058704E"/>
    <w:rsid w:val="00592D1A"/>
    <w:rsid w:val="00593D50"/>
    <w:rsid w:val="0059553E"/>
    <w:rsid w:val="00595C2E"/>
    <w:rsid w:val="005A0770"/>
    <w:rsid w:val="005A0BDA"/>
    <w:rsid w:val="005A1E40"/>
    <w:rsid w:val="005A2309"/>
    <w:rsid w:val="005A3C8C"/>
    <w:rsid w:val="005A66FF"/>
    <w:rsid w:val="005A7606"/>
    <w:rsid w:val="005B1A28"/>
    <w:rsid w:val="005B5DA3"/>
    <w:rsid w:val="005B6332"/>
    <w:rsid w:val="005C1CD7"/>
    <w:rsid w:val="005C5E1F"/>
    <w:rsid w:val="005C72F4"/>
    <w:rsid w:val="005D1478"/>
    <w:rsid w:val="005D44FB"/>
    <w:rsid w:val="005D459E"/>
    <w:rsid w:val="005D6EBF"/>
    <w:rsid w:val="005E1AB3"/>
    <w:rsid w:val="005E2806"/>
    <w:rsid w:val="005E4A99"/>
    <w:rsid w:val="005E5ECF"/>
    <w:rsid w:val="005E6002"/>
    <w:rsid w:val="005E6169"/>
    <w:rsid w:val="005E7906"/>
    <w:rsid w:val="005F1EA7"/>
    <w:rsid w:val="005F28AD"/>
    <w:rsid w:val="005F6543"/>
    <w:rsid w:val="005F7BBC"/>
    <w:rsid w:val="00600E31"/>
    <w:rsid w:val="0061225A"/>
    <w:rsid w:val="00612379"/>
    <w:rsid w:val="00613E2B"/>
    <w:rsid w:val="00617D4E"/>
    <w:rsid w:val="00620835"/>
    <w:rsid w:val="00620EDB"/>
    <w:rsid w:val="00622FA3"/>
    <w:rsid w:val="00624B4C"/>
    <w:rsid w:val="00630E76"/>
    <w:rsid w:val="00637AA1"/>
    <w:rsid w:val="00641379"/>
    <w:rsid w:val="0064371F"/>
    <w:rsid w:val="00645A7B"/>
    <w:rsid w:val="00646A5A"/>
    <w:rsid w:val="00647A51"/>
    <w:rsid w:val="00650DCE"/>
    <w:rsid w:val="00650E09"/>
    <w:rsid w:val="006532DA"/>
    <w:rsid w:val="006551EE"/>
    <w:rsid w:val="00660F93"/>
    <w:rsid w:val="00663353"/>
    <w:rsid w:val="006655C4"/>
    <w:rsid w:val="006679AC"/>
    <w:rsid w:val="00671527"/>
    <w:rsid w:val="00676EA5"/>
    <w:rsid w:val="00685006"/>
    <w:rsid w:val="00691802"/>
    <w:rsid w:val="00691BC2"/>
    <w:rsid w:val="0069332B"/>
    <w:rsid w:val="006945CD"/>
    <w:rsid w:val="006A23D1"/>
    <w:rsid w:val="006A2B85"/>
    <w:rsid w:val="006A2D69"/>
    <w:rsid w:val="006A7E78"/>
    <w:rsid w:val="006B72ED"/>
    <w:rsid w:val="006C6A53"/>
    <w:rsid w:val="006D29FB"/>
    <w:rsid w:val="006D6B76"/>
    <w:rsid w:val="006D7DED"/>
    <w:rsid w:val="006E0FD0"/>
    <w:rsid w:val="006E2BDE"/>
    <w:rsid w:val="006E3105"/>
    <w:rsid w:val="006F1DF8"/>
    <w:rsid w:val="00700E54"/>
    <w:rsid w:val="007025DB"/>
    <w:rsid w:val="00707DE6"/>
    <w:rsid w:val="007128AB"/>
    <w:rsid w:val="007131A7"/>
    <w:rsid w:val="00715862"/>
    <w:rsid w:val="00715C41"/>
    <w:rsid w:val="007169B2"/>
    <w:rsid w:val="00726688"/>
    <w:rsid w:val="007266FA"/>
    <w:rsid w:val="00727F26"/>
    <w:rsid w:val="00732280"/>
    <w:rsid w:val="0073556F"/>
    <w:rsid w:val="0074103B"/>
    <w:rsid w:val="00741B65"/>
    <w:rsid w:val="007420B4"/>
    <w:rsid w:val="007431A5"/>
    <w:rsid w:val="007442F3"/>
    <w:rsid w:val="00747FE0"/>
    <w:rsid w:val="00751905"/>
    <w:rsid w:val="00753665"/>
    <w:rsid w:val="007536D8"/>
    <w:rsid w:val="00754FD3"/>
    <w:rsid w:val="00760BBE"/>
    <w:rsid w:val="0076354E"/>
    <w:rsid w:val="0076467B"/>
    <w:rsid w:val="00767FBF"/>
    <w:rsid w:val="00770438"/>
    <w:rsid w:val="0077046A"/>
    <w:rsid w:val="00770690"/>
    <w:rsid w:val="00772323"/>
    <w:rsid w:val="007768F6"/>
    <w:rsid w:val="00784DC3"/>
    <w:rsid w:val="00786962"/>
    <w:rsid w:val="00793AF8"/>
    <w:rsid w:val="007A1D8B"/>
    <w:rsid w:val="007A7B6A"/>
    <w:rsid w:val="007C391B"/>
    <w:rsid w:val="007C3DD9"/>
    <w:rsid w:val="007C6B7E"/>
    <w:rsid w:val="007D019F"/>
    <w:rsid w:val="007D2CA2"/>
    <w:rsid w:val="007D479E"/>
    <w:rsid w:val="007D7614"/>
    <w:rsid w:val="007E0BB4"/>
    <w:rsid w:val="007E2BCA"/>
    <w:rsid w:val="007E3BC6"/>
    <w:rsid w:val="007F566C"/>
    <w:rsid w:val="007F64C0"/>
    <w:rsid w:val="007F712D"/>
    <w:rsid w:val="00802842"/>
    <w:rsid w:val="008029AB"/>
    <w:rsid w:val="00804900"/>
    <w:rsid w:val="00811F38"/>
    <w:rsid w:val="00816AE6"/>
    <w:rsid w:val="0081708B"/>
    <w:rsid w:val="00820992"/>
    <w:rsid w:val="00822716"/>
    <w:rsid w:val="00824FD6"/>
    <w:rsid w:val="008256EE"/>
    <w:rsid w:val="0083303A"/>
    <w:rsid w:val="008337B6"/>
    <w:rsid w:val="00835879"/>
    <w:rsid w:val="008402A5"/>
    <w:rsid w:val="0084756F"/>
    <w:rsid w:val="00850DBC"/>
    <w:rsid w:val="00851702"/>
    <w:rsid w:val="0085690C"/>
    <w:rsid w:val="0085746D"/>
    <w:rsid w:val="008608D2"/>
    <w:rsid w:val="00863942"/>
    <w:rsid w:val="00865047"/>
    <w:rsid w:val="008722CC"/>
    <w:rsid w:val="0087288C"/>
    <w:rsid w:val="0087386E"/>
    <w:rsid w:val="00873C27"/>
    <w:rsid w:val="008814F9"/>
    <w:rsid w:val="00884873"/>
    <w:rsid w:val="008852C6"/>
    <w:rsid w:val="00891159"/>
    <w:rsid w:val="00891643"/>
    <w:rsid w:val="00891C3A"/>
    <w:rsid w:val="0089381A"/>
    <w:rsid w:val="00894443"/>
    <w:rsid w:val="008A0DDB"/>
    <w:rsid w:val="008A4C85"/>
    <w:rsid w:val="008A6A31"/>
    <w:rsid w:val="008A71E0"/>
    <w:rsid w:val="008B04E3"/>
    <w:rsid w:val="008B3AC4"/>
    <w:rsid w:val="008C0727"/>
    <w:rsid w:val="008D3157"/>
    <w:rsid w:val="008D34A7"/>
    <w:rsid w:val="008D4BDA"/>
    <w:rsid w:val="008D50E2"/>
    <w:rsid w:val="008D5C4F"/>
    <w:rsid w:val="008E0569"/>
    <w:rsid w:val="008E13CB"/>
    <w:rsid w:val="008F5D50"/>
    <w:rsid w:val="008F71E2"/>
    <w:rsid w:val="00901ACB"/>
    <w:rsid w:val="00905352"/>
    <w:rsid w:val="009075B3"/>
    <w:rsid w:val="0090779A"/>
    <w:rsid w:val="00910453"/>
    <w:rsid w:val="00913E12"/>
    <w:rsid w:val="00916548"/>
    <w:rsid w:val="009239C8"/>
    <w:rsid w:val="00923D41"/>
    <w:rsid w:val="00931C69"/>
    <w:rsid w:val="00933AB8"/>
    <w:rsid w:val="0093521B"/>
    <w:rsid w:val="00935BA8"/>
    <w:rsid w:val="009416F7"/>
    <w:rsid w:val="00941D75"/>
    <w:rsid w:val="00944405"/>
    <w:rsid w:val="009466DD"/>
    <w:rsid w:val="00946D12"/>
    <w:rsid w:val="00955B85"/>
    <w:rsid w:val="00955C86"/>
    <w:rsid w:val="009571AF"/>
    <w:rsid w:val="0096381D"/>
    <w:rsid w:val="00963C21"/>
    <w:rsid w:val="00964947"/>
    <w:rsid w:val="00967B35"/>
    <w:rsid w:val="00973BD8"/>
    <w:rsid w:val="00973C49"/>
    <w:rsid w:val="00973F2B"/>
    <w:rsid w:val="009767E5"/>
    <w:rsid w:val="00976F5C"/>
    <w:rsid w:val="00977E9C"/>
    <w:rsid w:val="00983A28"/>
    <w:rsid w:val="009843AD"/>
    <w:rsid w:val="00990DA8"/>
    <w:rsid w:val="00992210"/>
    <w:rsid w:val="009928D3"/>
    <w:rsid w:val="009929D6"/>
    <w:rsid w:val="009929E1"/>
    <w:rsid w:val="0099724B"/>
    <w:rsid w:val="009A044F"/>
    <w:rsid w:val="009A5A95"/>
    <w:rsid w:val="009A6B75"/>
    <w:rsid w:val="009A7675"/>
    <w:rsid w:val="009B5916"/>
    <w:rsid w:val="009C4834"/>
    <w:rsid w:val="009C4A6D"/>
    <w:rsid w:val="009C6237"/>
    <w:rsid w:val="009D422A"/>
    <w:rsid w:val="009D75A9"/>
    <w:rsid w:val="009E274B"/>
    <w:rsid w:val="009E2B4A"/>
    <w:rsid w:val="009E2D9D"/>
    <w:rsid w:val="009F12DD"/>
    <w:rsid w:val="009F37B8"/>
    <w:rsid w:val="009F45AA"/>
    <w:rsid w:val="009F53D5"/>
    <w:rsid w:val="009F6329"/>
    <w:rsid w:val="00A01F77"/>
    <w:rsid w:val="00A04943"/>
    <w:rsid w:val="00A076E0"/>
    <w:rsid w:val="00A1008C"/>
    <w:rsid w:val="00A10F2C"/>
    <w:rsid w:val="00A1491A"/>
    <w:rsid w:val="00A2118A"/>
    <w:rsid w:val="00A27F79"/>
    <w:rsid w:val="00A3073F"/>
    <w:rsid w:val="00A3169B"/>
    <w:rsid w:val="00A3399B"/>
    <w:rsid w:val="00A33F29"/>
    <w:rsid w:val="00A35BCF"/>
    <w:rsid w:val="00A35C6A"/>
    <w:rsid w:val="00A37177"/>
    <w:rsid w:val="00A40F62"/>
    <w:rsid w:val="00A42B2E"/>
    <w:rsid w:val="00A4441D"/>
    <w:rsid w:val="00A44D52"/>
    <w:rsid w:val="00A46C34"/>
    <w:rsid w:val="00A537F4"/>
    <w:rsid w:val="00A547AD"/>
    <w:rsid w:val="00A6272F"/>
    <w:rsid w:val="00A6312B"/>
    <w:rsid w:val="00A65D2A"/>
    <w:rsid w:val="00A67AA3"/>
    <w:rsid w:val="00A759D7"/>
    <w:rsid w:val="00A76B74"/>
    <w:rsid w:val="00A81145"/>
    <w:rsid w:val="00A8347D"/>
    <w:rsid w:val="00A83BDE"/>
    <w:rsid w:val="00A83F78"/>
    <w:rsid w:val="00A91C16"/>
    <w:rsid w:val="00A951D0"/>
    <w:rsid w:val="00A95A9D"/>
    <w:rsid w:val="00AA094B"/>
    <w:rsid w:val="00AA4C85"/>
    <w:rsid w:val="00AA576E"/>
    <w:rsid w:val="00AB1947"/>
    <w:rsid w:val="00AB4791"/>
    <w:rsid w:val="00AB70C0"/>
    <w:rsid w:val="00AC466F"/>
    <w:rsid w:val="00AD52EA"/>
    <w:rsid w:val="00AD538E"/>
    <w:rsid w:val="00AD6C62"/>
    <w:rsid w:val="00AE0E56"/>
    <w:rsid w:val="00AE1FAC"/>
    <w:rsid w:val="00AE3D8C"/>
    <w:rsid w:val="00AF18E0"/>
    <w:rsid w:val="00AF1C40"/>
    <w:rsid w:val="00AF4810"/>
    <w:rsid w:val="00AF5809"/>
    <w:rsid w:val="00AF5AF4"/>
    <w:rsid w:val="00B05D8E"/>
    <w:rsid w:val="00B0678F"/>
    <w:rsid w:val="00B07324"/>
    <w:rsid w:val="00B15096"/>
    <w:rsid w:val="00B152B4"/>
    <w:rsid w:val="00B263CB"/>
    <w:rsid w:val="00B266EE"/>
    <w:rsid w:val="00B30136"/>
    <w:rsid w:val="00B30204"/>
    <w:rsid w:val="00B31B11"/>
    <w:rsid w:val="00B33B22"/>
    <w:rsid w:val="00B35A7E"/>
    <w:rsid w:val="00B35F2B"/>
    <w:rsid w:val="00B43B23"/>
    <w:rsid w:val="00B453F2"/>
    <w:rsid w:val="00B479BE"/>
    <w:rsid w:val="00B50824"/>
    <w:rsid w:val="00B50DE7"/>
    <w:rsid w:val="00B63B35"/>
    <w:rsid w:val="00B67187"/>
    <w:rsid w:val="00B738F2"/>
    <w:rsid w:val="00B73C45"/>
    <w:rsid w:val="00B749E8"/>
    <w:rsid w:val="00B76441"/>
    <w:rsid w:val="00B7686B"/>
    <w:rsid w:val="00B8221E"/>
    <w:rsid w:val="00B86E5E"/>
    <w:rsid w:val="00B9066F"/>
    <w:rsid w:val="00B907E7"/>
    <w:rsid w:val="00B94337"/>
    <w:rsid w:val="00B95F2D"/>
    <w:rsid w:val="00B97282"/>
    <w:rsid w:val="00BA208A"/>
    <w:rsid w:val="00BA4926"/>
    <w:rsid w:val="00BB3220"/>
    <w:rsid w:val="00BB3251"/>
    <w:rsid w:val="00BB3854"/>
    <w:rsid w:val="00BB707A"/>
    <w:rsid w:val="00BC3075"/>
    <w:rsid w:val="00BD4D26"/>
    <w:rsid w:val="00BD66E7"/>
    <w:rsid w:val="00BE1D43"/>
    <w:rsid w:val="00BE32F8"/>
    <w:rsid w:val="00BE47B0"/>
    <w:rsid w:val="00BF1A28"/>
    <w:rsid w:val="00BF6AEF"/>
    <w:rsid w:val="00C0183B"/>
    <w:rsid w:val="00C01C9D"/>
    <w:rsid w:val="00C04ACB"/>
    <w:rsid w:val="00C102BF"/>
    <w:rsid w:val="00C10CC4"/>
    <w:rsid w:val="00C129BD"/>
    <w:rsid w:val="00C14606"/>
    <w:rsid w:val="00C160FC"/>
    <w:rsid w:val="00C16F80"/>
    <w:rsid w:val="00C253ED"/>
    <w:rsid w:val="00C261DB"/>
    <w:rsid w:val="00C304D5"/>
    <w:rsid w:val="00C340D2"/>
    <w:rsid w:val="00C3517B"/>
    <w:rsid w:val="00C35B53"/>
    <w:rsid w:val="00C418DD"/>
    <w:rsid w:val="00C44954"/>
    <w:rsid w:val="00C44FF9"/>
    <w:rsid w:val="00C45D99"/>
    <w:rsid w:val="00C468ED"/>
    <w:rsid w:val="00C473C4"/>
    <w:rsid w:val="00C52CDE"/>
    <w:rsid w:val="00C53026"/>
    <w:rsid w:val="00C67533"/>
    <w:rsid w:val="00C720D8"/>
    <w:rsid w:val="00C75416"/>
    <w:rsid w:val="00C75A62"/>
    <w:rsid w:val="00C77FE9"/>
    <w:rsid w:val="00C81666"/>
    <w:rsid w:val="00C82AEC"/>
    <w:rsid w:val="00C8361D"/>
    <w:rsid w:val="00C8372B"/>
    <w:rsid w:val="00C92341"/>
    <w:rsid w:val="00C934DA"/>
    <w:rsid w:val="00C93A18"/>
    <w:rsid w:val="00C9557B"/>
    <w:rsid w:val="00C95DFD"/>
    <w:rsid w:val="00C9717B"/>
    <w:rsid w:val="00CA2DA1"/>
    <w:rsid w:val="00CA4950"/>
    <w:rsid w:val="00CB28B5"/>
    <w:rsid w:val="00CB7E4C"/>
    <w:rsid w:val="00CC01E2"/>
    <w:rsid w:val="00CC272D"/>
    <w:rsid w:val="00CC4988"/>
    <w:rsid w:val="00CC6AA9"/>
    <w:rsid w:val="00CD1BF9"/>
    <w:rsid w:val="00CD4306"/>
    <w:rsid w:val="00CD4A32"/>
    <w:rsid w:val="00CE0C4F"/>
    <w:rsid w:val="00CF0EC1"/>
    <w:rsid w:val="00CF1AA0"/>
    <w:rsid w:val="00CF4AB2"/>
    <w:rsid w:val="00CF516D"/>
    <w:rsid w:val="00CF5746"/>
    <w:rsid w:val="00D01655"/>
    <w:rsid w:val="00D026F1"/>
    <w:rsid w:val="00D0639F"/>
    <w:rsid w:val="00D06C4E"/>
    <w:rsid w:val="00D07E3B"/>
    <w:rsid w:val="00D10515"/>
    <w:rsid w:val="00D10B50"/>
    <w:rsid w:val="00D1277D"/>
    <w:rsid w:val="00D13424"/>
    <w:rsid w:val="00D21E5F"/>
    <w:rsid w:val="00D23B95"/>
    <w:rsid w:val="00D24D02"/>
    <w:rsid w:val="00D25F60"/>
    <w:rsid w:val="00D300C6"/>
    <w:rsid w:val="00D35122"/>
    <w:rsid w:val="00D355DD"/>
    <w:rsid w:val="00D35F1A"/>
    <w:rsid w:val="00D361AA"/>
    <w:rsid w:val="00D44355"/>
    <w:rsid w:val="00D45F81"/>
    <w:rsid w:val="00D470AD"/>
    <w:rsid w:val="00D502F9"/>
    <w:rsid w:val="00D50820"/>
    <w:rsid w:val="00D5231E"/>
    <w:rsid w:val="00D55639"/>
    <w:rsid w:val="00D57064"/>
    <w:rsid w:val="00D6195B"/>
    <w:rsid w:val="00D621D0"/>
    <w:rsid w:val="00D627D8"/>
    <w:rsid w:val="00D7333C"/>
    <w:rsid w:val="00D7367D"/>
    <w:rsid w:val="00D73CFB"/>
    <w:rsid w:val="00D74D96"/>
    <w:rsid w:val="00D802FF"/>
    <w:rsid w:val="00D805C0"/>
    <w:rsid w:val="00D8527B"/>
    <w:rsid w:val="00D85373"/>
    <w:rsid w:val="00D9372B"/>
    <w:rsid w:val="00D945EE"/>
    <w:rsid w:val="00D94E2B"/>
    <w:rsid w:val="00D9563B"/>
    <w:rsid w:val="00D96D83"/>
    <w:rsid w:val="00DA2D75"/>
    <w:rsid w:val="00DA31E9"/>
    <w:rsid w:val="00DB0651"/>
    <w:rsid w:val="00DB1AFC"/>
    <w:rsid w:val="00DB21FC"/>
    <w:rsid w:val="00DB2468"/>
    <w:rsid w:val="00DB46CE"/>
    <w:rsid w:val="00DB473A"/>
    <w:rsid w:val="00DB4893"/>
    <w:rsid w:val="00DB5B6C"/>
    <w:rsid w:val="00DC2AB9"/>
    <w:rsid w:val="00DC3765"/>
    <w:rsid w:val="00DC585D"/>
    <w:rsid w:val="00DC6242"/>
    <w:rsid w:val="00DC6C04"/>
    <w:rsid w:val="00DD2CD8"/>
    <w:rsid w:val="00DD2DB9"/>
    <w:rsid w:val="00DE1756"/>
    <w:rsid w:val="00DE2159"/>
    <w:rsid w:val="00DE27E4"/>
    <w:rsid w:val="00DE397D"/>
    <w:rsid w:val="00DE46E8"/>
    <w:rsid w:val="00DE4CCE"/>
    <w:rsid w:val="00DE785C"/>
    <w:rsid w:val="00DF258F"/>
    <w:rsid w:val="00DF43A4"/>
    <w:rsid w:val="00DF4C66"/>
    <w:rsid w:val="00DF6032"/>
    <w:rsid w:val="00E05B3F"/>
    <w:rsid w:val="00E0754B"/>
    <w:rsid w:val="00E07879"/>
    <w:rsid w:val="00E106E5"/>
    <w:rsid w:val="00E10E91"/>
    <w:rsid w:val="00E114E5"/>
    <w:rsid w:val="00E124BE"/>
    <w:rsid w:val="00E124F9"/>
    <w:rsid w:val="00E16C0E"/>
    <w:rsid w:val="00E17A7C"/>
    <w:rsid w:val="00E20CC1"/>
    <w:rsid w:val="00E2106D"/>
    <w:rsid w:val="00E21291"/>
    <w:rsid w:val="00E22B94"/>
    <w:rsid w:val="00E2536A"/>
    <w:rsid w:val="00E26743"/>
    <w:rsid w:val="00E31AA6"/>
    <w:rsid w:val="00E32232"/>
    <w:rsid w:val="00E3407A"/>
    <w:rsid w:val="00E34EEE"/>
    <w:rsid w:val="00E34FFE"/>
    <w:rsid w:val="00E353C7"/>
    <w:rsid w:val="00E36439"/>
    <w:rsid w:val="00E36B92"/>
    <w:rsid w:val="00E37975"/>
    <w:rsid w:val="00E40867"/>
    <w:rsid w:val="00E412AF"/>
    <w:rsid w:val="00E47D1B"/>
    <w:rsid w:val="00E54CD5"/>
    <w:rsid w:val="00E56D5F"/>
    <w:rsid w:val="00E60598"/>
    <w:rsid w:val="00E608AC"/>
    <w:rsid w:val="00E60A8B"/>
    <w:rsid w:val="00E60E3A"/>
    <w:rsid w:val="00E61E03"/>
    <w:rsid w:val="00E63954"/>
    <w:rsid w:val="00E66F9F"/>
    <w:rsid w:val="00E72D0C"/>
    <w:rsid w:val="00E747F4"/>
    <w:rsid w:val="00E756F3"/>
    <w:rsid w:val="00E8106F"/>
    <w:rsid w:val="00E823E1"/>
    <w:rsid w:val="00E83816"/>
    <w:rsid w:val="00E92330"/>
    <w:rsid w:val="00E94010"/>
    <w:rsid w:val="00E954BA"/>
    <w:rsid w:val="00EA19A0"/>
    <w:rsid w:val="00EA6077"/>
    <w:rsid w:val="00EB0CAF"/>
    <w:rsid w:val="00EB7902"/>
    <w:rsid w:val="00EC3EFB"/>
    <w:rsid w:val="00EC505E"/>
    <w:rsid w:val="00EC7783"/>
    <w:rsid w:val="00ED0FCC"/>
    <w:rsid w:val="00ED1EC4"/>
    <w:rsid w:val="00ED6BBB"/>
    <w:rsid w:val="00EE0722"/>
    <w:rsid w:val="00EE48CB"/>
    <w:rsid w:val="00EE50D3"/>
    <w:rsid w:val="00EF03D8"/>
    <w:rsid w:val="00EF1A13"/>
    <w:rsid w:val="00EF3EAE"/>
    <w:rsid w:val="00EF4D82"/>
    <w:rsid w:val="00EF4E05"/>
    <w:rsid w:val="00EF795D"/>
    <w:rsid w:val="00F14FEC"/>
    <w:rsid w:val="00F17499"/>
    <w:rsid w:val="00F17F54"/>
    <w:rsid w:val="00F313BB"/>
    <w:rsid w:val="00F33029"/>
    <w:rsid w:val="00F342FC"/>
    <w:rsid w:val="00F3540F"/>
    <w:rsid w:val="00F406CF"/>
    <w:rsid w:val="00F43456"/>
    <w:rsid w:val="00F44E94"/>
    <w:rsid w:val="00F46A79"/>
    <w:rsid w:val="00F7293A"/>
    <w:rsid w:val="00F72FC7"/>
    <w:rsid w:val="00F733F1"/>
    <w:rsid w:val="00F73C9B"/>
    <w:rsid w:val="00F73CF3"/>
    <w:rsid w:val="00F816EF"/>
    <w:rsid w:val="00F84618"/>
    <w:rsid w:val="00F8768A"/>
    <w:rsid w:val="00F91758"/>
    <w:rsid w:val="00F92215"/>
    <w:rsid w:val="00F92DC5"/>
    <w:rsid w:val="00F9522A"/>
    <w:rsid w:val="00F96DA7"/>
    <w:rsid w:val="00FA3966"/>
    <w:rsid w:val="00FA76ED"/>
    <w:rsid w:val="00FB6AF6"/>
    <w:rsid w:val="00FD3770"/>
    <w:rsid w:val="00FD3BF4"/>
    <w:rsid w:val="00FD4CD7"/>
    <w:rsid w:val="00FD70DB"/>
    <w:rsid w:val="00FD7726"/>
    <w:rsid w:val="00FE58F8"/>
    <w:rsid w:val="00FF5597"/>
    <w:rsid w:val="0A8D02DD"/>
    <w:rsid w:val="15E94946"/>
    <w:rsid w:val="45C53D6D"/>
    <w:rsid w:val="51F01B36"/>
    <w:rsid w:val="57AC488E"/>
    <w:rsid w:val="64020323"/>
    <w:rsid w:val="677722D4"/>
    <w:rsid w:val="708A64E3"/>
    <w:rsid w:val="76E356F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iPriority="0" w:semiHidden="0" w:name="heading 4" w:locked="1"/>
    <w:lsdException w:qFormat="1" w:unhideWhenUsed="0" w:uiPriority="99" w:semiHidden="0" w:name="heading 5"/>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0" w:firstLineChars="20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24"/>
    <w:qFormat/>
    <w:uiPriority w:val="99"/>
    <w:pPr>
      <w:keepNext/>
      <w:keepLines/>
      <w:outlineLvl w:val="0"/>
    </w:pPr>
    <w:rPr>
      <w:rFonts w:eastAsia="黑体"/>
      <w:kern w:val="44"/>
    </w:rPr>
  </w:style>
  <w:style w:type="paragraph" w:styleId="3">
    <w:name w:val="heading 2"/>
    <w:basedOn w:val="1"/>
    <w:next w:val="1"/>
    <w:link w:val="25"/>
    <w:qFormat/>
    <w:uiPriority w:val="99"/>
    <w:pPr>
      <w:keepNext/>
      <w:keepLines/>
      <w:outlineLvl w:val="1"/>
    </w:pPr>
    <w:rPr>
      <w:rFonts w:eastAsia="楷体_GB2312"/>
    </w:rPr>
  </w:style>
  <w:style w:type="paragraph" w:styleId="4">
    <w:name w:val="heading 3"/>
    <w:basedOn w:val="1"/>
    <w:next w:val="1"/>
    <w:link w:val="39"/>
    <w:unhideWhenUsed/>
    <w:qFormat/>
    <w:locked/>
    <w:uiPriority w:val="0"/>
    <w:pPr>
      <w:keepNext/>
      <w:keepLines/>
      <w:spacing w:before="260" w:after="260" w:line="416" w:lineRule="auto"/>
      <w:outlineLvl w:val="2"/>
    </w:pPr>
    <w:rPr>
      <w:b/>
      <w:bCs/>
    </w:rPr>
  </w:style>
  <w:style w:type="paragraph" w:styleId="5">
    <w:name w:val="heading 4"/>
    <w:basedOn w:val="1"/>
    <w:next w:val="1"/>
    <w:link w:val="40"/>
    <w:unhideWhenUsed/>
    <w:qFormat/>
    <w:locked/>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9"/>
    <w:pPr>
      <w:keepNext/>
      <w:keepLines/>
      <w:spacing w:before="280" w:after="290" w:line="374" w:lineRule="auto"/>
      <w:outlineLvl w:val="4"/>
    </w:pPr>
    <w:rPr>
      <w:b/>
      <w:bCs/>
      <w:sz w:val="28"/>
      <w:szCs w:val="28"/>
    </w:rPr>
  </w:style>
  <w:style w:type="character" w:default="1" w:styleId="19">
    <w:name w:val="Default Paragraph Font"/>
    <w:unhideWhenUsed/>
    <w:uiPriority w:val="1"/>
  </w:style>
  <w:style w:type="table" w:default="1" w:styleId="23">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30"/>
    <w:semiHidden/>
    <w:uiPriority w:val="99"/>
    <w:rPr>
      <w:b/>
      <w:bCs/>
    </w:rPr>
  </w:style>
  <w:style w:type="paragraph" w:styleId="8">
    <w:name w:val="annotation text"/>
    <w:basedOn w:val="1"/>
    <w:link w:val="29"/>
    <w:qFormat/>
    <w:uiPriority w:val="99"/>
    <w:pPr>
      <w:jc w:val="left"/>
    </w:pPr>
  </w:style>
  <w:style w:type="paragraph" w:styleId="9">
    <w:name w:val="toc 3"/>
    <w:basedOn w:val="1"/>
    <w:next w:val="1"/>
    <w:qFormat/>
    <w:locked/>
    <w:uiPriority w:val="39"/>
    <w:pPr>
      <w:ind w:left="840" w:leftChars="400"/>
    </w:pPr>
  </w:style>
  <w:style w:type="paragraph" w:styleId="10">
    <w:name w:val="Plain Text"/>
    <w:basedOn w:val="1"/>
    <w:link w:val="35"/>
    <w:uiPriority w:val="99"/>
    <w:rPr>
      <w:rFonts w:ascii="宋体" w:hAnsi="Courier New" w:cs="Courier New"/>
      <w:sz w:val="21"/>
      <w:szCs w:val="21"/>
    </w:rPr>
  </w:style>
  <w:style w:type="paragraph" w:styleId="11">
    <w:name w:val="Date"/>
    <w:basedOn w:val="1"/>
    <w:next w:val="1"/>
    <w:link w:val="36"/>
    <w:semiHidden/>
    <w:qFormat/>
    <w:uiPriority w:val="99"/>
    <w:pPr>
      <w:ind w:left="100" w:leftChars="2500"/>
    </w:pPr>
  </w:style>
  <w:style w:type="paragraph" w:styleId="12">
    <w:name w:val="Balloon Text"/>
    <w:basedOn w:val="1"/>
    <w:link w:val="31"/>
    <w:semiHidden/>
    <w:qFormat/>
    <w:uiPriority w:val="99"/>
    <w:rPr>
      <w:sz w:val="18"/>
      <w:szCs w:val="18"/>
    </w:rPr>
  </w:style>
  <w:style w:type="paragraph" w:styleId="13">
    <w:name w:val="footer"/>
    <w:basedOn w:val="1"/>
    <w:link w:val="28"/>
    <w:qFormat/>
    <w:uiPriority w:val="99"/>
    <w:pPr>
      <w:tabs>
        <w:tab w:val="center" w:pos="4153"/>
        <w:tab w:val="right" w:pos="8306"/>
      </w:tabs>
      <w:snapToGrid w:val="0"/>
      <w:jc w:val="left"/>
    </w:pPr>
    <w:rPr>
      <w:sz w:val="18"/>
      <w:szCs w:val="18"/>
    </w:rPr>
  </w:style>
  <w:style w:type="paragraph" w:styleId="14">
    <w:name w:val="header"/>
    <w:basedOn w:val="1"/>
    <w:link w:val="27"/>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style>
  <w:style w:type="paragraph" w:styleId="16">
    <w:name w:val="toc 2"/>
    <w:basedOn w:val="1"/>
    <w:next w:val="1"/>
    <w:qFormat/>
    <w:uiPriority w:val="39"/>
    <w:pPr>
      <w:ind w:left="420" w:leftChars="200"/>
    </w:p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8">
    <w:name w:val="Title"/>
    <w:basedOn w:val="1"/>
    <w:link w:val="37"/>
    <w:qFormat/>
    <w:uiPriority w:val="99"/>
    <w:pPr>
      <w:spacing w:before="240" w:after="60"/>
      <w:jc w:val="center"/>
      <w:outlineLvl w:val="0"/>
    </w:pPr>
    <w:rPr>
      <w:rFonts w:ascii="Arial" w:hAnsi="Arial" w:cs="Arial"/>
      <w:b/>
      <w:bCs/>
    </w:rPr>
  </w:style>
  <w:style w:type="character" w:styleId="20">
    <w:name w:val="Strong"/>
    <w:basedOn w:val="19"/>
    <w:qFormat/>
    <w:uiPriority w:val="99"/>
    <w:rPr>
      <w:rFonts w:cs="Times New Roman"/>
      <w:b/>
      <w:bCs/>
    </w:rPr>
  </w:style>
  <w:style w:type="character" w:styleId="21">
    <w:name w:val="Hyperlink"/>
    <w:basedOn w:val="19"/>
    <w:qFormat/>
    <w:uiPriority w:val="99"/>
    <w:rPr>
      <w:rFonts w:cs="Times New Roman"/>
      <w:color w:val="0000FF"/>
      <w:u w:val="single"/>
    </w:rPr>
  </w:style>
  <w:style w:type="character" w:styleId="22">
    <w:name w:val="annotation reference"/>
    <w:basedOn w:val="19"/>
    <w:qFormat/>
    <w:uiPriority w:val="99"/>
    <w:rPr>
      <w:rFonts w:cs="Times New Roman"/>
      <w:sz w:val="21"/>
      <w:szCs w:val="21"/>
    </w:rPr>
  </w:style>
  <w:style w:type="character" w:customStyle="1" w:styleId="24">
    <w:name w:val="标题 1 字符"/>
    <w:basedOn w:val="19"/>
    <w:link w:val="2"/>
    <w:qFormat/>
    <w:locked/>
    <w:uiPriority w:val="99"/>
    <w:rPr>
      <w:rFonts w:eastAsia="黑体" w:cs="Times New Roman"/>
      <w:kern w:val="44"/>
      <w:sz w:val="32"/>
      <w:szCs w:val="32"/>
    </w:rPr>
  </w:style>
  <w:style w:type="character" w:customStyle="1" w:styleId="25">
    <w:name w:val="标题 2 字符"/>
    <w:basedOn w:val="19"/>
    <w:link w:val="3"/>
    <w:qFormat/>
    <w:locked/>
    <w:uiPriority w:val="99"/>
    <w:rPr>
      <w:rFonts w:ascii="Times New Roman" w:hAnsi="Times New Roman" w:eastAsia="楷体_GB2312" w:cs="Times New Roman"/>
      <w:sz w:val="32"/>
      <w:szCs w:val="32"/>
    </w:rPr>
  </w:style>
  <w:style w:type="character" w:customStyle="1" w:styleId="26">
    <w:name w:val="标题 5 字符"/>
    <w:basedOn w:val="19"/>
    <w:link w:val="6"/>
    <w:semiHidden/>
    <w:qFormat/>
    <w:locked/>
    <w:uiPriority w:val="99"/>
    <w:rPr>
      <w:rFonts w:cs="Times New Roman"/>
      <w:b/>
      <w:bCs/>
      <w:sz w:val="28"/>
      <w:szCs w:val="28"/>
    </w:rPr>
  </w:style>
  <w:style w:type="character" w:customStyle="1" w:styleId="27">
    <w:name w:val="页眉 字符"/>
    <w:basedOn w:val="19"/>
    <w:link w:val="14"/>
    <w:qFormat/>
    <w:locked/>
    <w:uiPriority w:val="99"/>
    <w:rPr>
      <w:rFonts w:cs="Times New Roman"/>
      <w:sz w:val="18"/>
      <w:szCs w:val="18"/>
    </w:rPr>
  </w:style>
  <w:style w:type="character" w:customStyle="1" w:styleId="28">
    <w:name w:val="页脚 字符"/>
    <w:basedOn w:val="19"/>
    <w:link w:val="13"/>
    <w:qFormat/>
    <w:locked/>
    <w:uiPriority w:val="99"/>
    <w:rPr>
      <w:rFonts w:cs="Times New Roman"/>
      <w:sz w:val="18"/>
      <w:szCs w:val="18"/>
    </w:rPr>
  </w:style>
  <w:style w:type="character" w:customStyle="1" w:styleId="29">
    <w:name w:val="批注文字 字符"/>
    <w:basedOn w:val="19"/>
    <w:link w:val="8"/>
    <w:qFormat/>
    <w:locked/>
    <w:uiPriority w:val="99"/>
    <w:rPr>
      <w:rFonts w:cs="Times New Roman"/>
    </w:rPr>
  </w:style>
  <w:style w:type="character" w:customStyle="1" w:styleId="30">
    <w:name w:val="批注主题 字符"/>
    <w:basedOn w:val="29"/>
    <w:link w:val="7"/>
    <w:semiHidden/>
    <w:qFormat/>
    <w:locked/>
    <w:uiPriority w:val="99"/>
    <w:rPr>
      <w:rFonts w:cs="Times New Roman"/>
      <w:b/>
      <w:bCs/>
    </w:rPr>
  </w:style>
  <w:style w:type="character" w:customStyle="1" w:styleId="31">
    <w:name w:val="批注框文本 字符"/>
    <w:basedOn w:val="19"/>
    <w:link w:val="12"/>
    <w:semiHidden/>
    <w:qFormat/>
    <w:locked/>
    <w:uiPriority w:val="99"/>
    <w:rPr>
      <w:rFonts w:cs="Times New Roman"/>
      <w:sz w:val="18"/>
      <w:szCs w:val="18"/>
    </w:rPr>
  </w:style>
  <w:style w:type="paragraph" w:customStyle="1" w:styleId="32">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3">
    <w:name w:val="列出段落1"/>
    <w:basedOn w:val="1"/>
    <w:link w:val="34"/>
    <w:qFormat/>
    <w:uiPriority w:val="34"/>
    <w:pPr>
      <w:ind w:firstLine="420"/>
    </w:pPr>
  </w:style>
  <w:style w:type="character" w:customStyle="1" w:styleId="34">
    <w:name w:val="列出段落 Char"/>
    <w:link w:val="33"/>
    <w:qFormat/>
    <w:locked/>
    <w:uiPriority w:val="99"/>
  </w:style>
  <w:style w:type="character" w:customStyle="1" w:styleId="35">
    <w:name w:val="纯文本 字符"/>
    <w:basedOn w:val="19"/>
    <w:link w:val="10"/>
    <w:qFormat/>
    <w:locked/>
    <w:uiPriority w:val="99"/>
    <w:rPr>
      <w:rFonts w:ascii="宋体" w:hAnsi="Courier New" w:cs="Courier New"/>
      <w:sz w:val="21"/>
      <w:szCs w:val="21"/>
    </w:rPr>
  </w:style>
  <w:style w:type="character" w:customStyle="1" w:styleId="36">
    <w:name w:val="日期 字符"/>
    <w:basedOn w:val="19"/>
    <w:link w:val="11"/>
    <w:semiHidden/>
    <w:qFormat/>
    <w:locked/>
    <w:uiPriority w:val="99"/>
    <w:rPr>
      <w:rFonts w:cs="Times New Roman"/>
    </w:rPr>
  </w:style>
  <w:style w:type="character" w:customStyle="1" w:styleId="37">
    <w:name w:val="标题 字符"/>
    <w:basedOn w:val="19"/>
    <w:link w:val="18"/>
    <w:qFormat/>
    <w:locked/>
    <w:uiPriority w:val="99"/>
    <w:rPr>
      <w:rFonts w:ascii="Arial" w:hAnsi="Arial" w:cs="Arial"/>
      <w:b/>
      <w:bCs/>
      <w:sz w:val="32"/>
      <w:szCs w:val="32"/>
    </w:rPr>
  </w:style>
  <w:style w:type="character" w:customStyle="1" w:styleId="38">
    <w:name w:val="rphighlightallclass"/>
    <w:basedOn w:val="19"/>
    <w:qFormat/>
    <w:uiPriority w:val="0"/>
  </w:style>
  <w:style w:type="character" w:customStyle="1" w:styleId="39">
    <w:name w:val="标题 3 字符"/>
    <w:basedOn w:val="19"/>
    <w:link w:val="4"/>
    <w:qFormat/>
    <w:uiPriority w:val="0"/>
    <w:rPr>
      <w:rFonts w:eastAsia="仿宋_GB2312"/>
      <w:b/>
      <w:bCs/>
      <w:kern w:val="2"/>
      <w:sz w:val="32"/>
      <w:szCs w:val="32"/>
    </w:rPr>
  </w:style>
  <w:style w:type="character" w:customStyle="1" w:styleId="40">
    <w:name w:val="标题 4 字符"/>
    <w:basedOn w:val="19"/>
    <w:link w:val="5"/>
    <w:qFormat/>
    <w:uiPriority w:val="0"/>
    <w:rPr>
      <w:rFonts w:asciiTheme="majorHAnsi" w:hAnsiTheme="majorHAnsi" w:eastAsiaTheme="majorEastAsia" w:cstheme="majorBidi"/>
      <w:b/>
      <w:bCs/>
      <w:kern w:val="2"/>
      <w:sz w:val="28"/>
      <w:szCs w:val="28"/>
    </w:rPr>
  </w:style>
  <w:style w:type="paragraph" w:customStyle="1" w:styleId="41">
    <w:name w:val="TOC Heading"/>
    <w:basedOn w:val="2"/>
    <w:next w:val="1"/>
    <w:unhideWhenUsed/>
    <w:qFormat/>
    <w:uiPriority w:val="39"/>
    <w:pPr>
      <w:widowControl/>
      <w:spacing w:before="240" w:line="259" w:lineRule="auto"/>
      <w:ind w:firstLine="0" w:firstLineChars="0"/>
      <w:jc w:val="left"/>
      <w:outlineLvl w:val="9"/>
    </w:pPr>
    <w:rPr>
      <w:rFonts w:asciiTheme="majorHAnsi" w:hAnsiTheme="majorHAnsi" w:eastAsiaTheme="majorEastAsia" w:cstheme="majorBidi"/>
      <w:color w:val="376092" w:themeColor="accent1" w:themeShade="BF"/>
      <w:kern w:val="0"/>
    </w:rPr>
  </w:style>
  <w:style w:type="paragraph" w:customStyle="1" w:styleId="42">
    <w:name w:val="List Paragraph"/>
    <w:basedOn w:val="1"/>
    <w:qFormat/>
    <w:uiPriority w:val="99"/>
    <w:pPr>
      <w:spacing w:line="240" w:lineRule="auto"/>
      <w:ind w:firstLine="420"/>
    </w:pPr>
    <w:rPr>
      <w:rFonts w:eastAsia="仿宋" w:cstheme="minorBidi"/>
      <w:sz w:val="28"/>
      <w:szCs w:val="22"/>
    </w:rPr>
  </w:style>
  <w:style w:type="paragraph" w:customStyle="1" w:styleId="43">
    <w:name w:val="x_msonormal"/>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customStyle="1" w:styleId="44">
    <w:name w:val="Revision"/>
    <w:hidden/>
    <w:semiHidden/>
    <w:qFormat/>
    <w:uiPriority w:val="99"/>
    <w:rPr>
      <w:rFonts w:ascii="Times New Roman"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802F6F-075C-449E-9BB1-AB7AE53CD05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899</Words>
  <Characters>5128</Characters>
  <Lines>42</Lines>
  <Paragraphs>12</Paragraphs>
  <TotalTime>3</TotalTime>
  <ScaleCrop>false</ScaleCrop>
  <LinksUpToDate>false</LinksUpToDate>
  <CharactersWithSpaces>6015</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2020-04-17T12:11:00Z</dcterms:created>
  <dc:creator>sl2-7</dc:creator>
  <cp:lastModifiedBy>user</cp:lastModifiedBy>
  <cp:lastPrinted>2020-04-22T06:10:00Z</cp:lastPrinted>
  <dcterms:modified xsi:type="dcterms:W3CDTF">2020-04-29T12:54:35Z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